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9B74" w14:textId="30A50143" w:rsidR="00E748C4" w:rsidRPr="00E748C4" w:rsidRDefault="00E748C4" w:rsidP="00E748C4">
      <w:pPr>
        <w:tabs>
          <w:tab w:val="left" w:pos="540"/>
        </w:tabs>
        <w:jc w:val="center"/>
        <w:rPr>
          <w:rFonts w:ascii="宋体" w:hAnsi="宋体"/>
          <w:b/>
          <w:sz w:val="32"/>
          <w:szCs w:val="32"/>
        </w:rPr>
      </w:pPr>
      <w:r w:rsidRPr="00E748C4">
        <w:rPr>
          <w:rFonts w:ascii="宋体" w:hAnsi="宋体" w:hint="eastAsia"/>
          <w:b/>
          <w:sz w:val="32"/>
          <w:szCs w:val="32"/>
        </w:rPr>
        <w:t>D</w:t>
      </w:r>
      <w:r w:rsidRPr="00E748C4">
        <w:rPr>
          <w:rFonts w:ascii="宋体" w:hAnsi="宋体"/>
          <w:b/>
          <w:sz w:val="32"/>
          <w:szCs w:val="32"/>
        </w:rPr>
        <w:t xml:space="preserve">B-MNQ11 </w:t>
      </w:r>
      <w:r w:rsidRPr="00E748C4">
        <w:rPr>
          <w:rFonts w:ascii="宋体" w:hAnsi="宋体" w:hint="eastAsia"/>
          <w:b/>
          <w:sz w:val="32"/>
          <w:szCs w:val="32"/>
        </w:rPr>
        <w:t>塔吊模拟</w:t>
      </w:r>
      <w:r>
        <w:rPr>
          <w:rFonts w:ascii="宋体" w:hAnsi="宋体" w:hint="eastAsia"/>
          <w:b/>
          <w:sz w:val="32"/>
          <w:szCs w:val="32"/>
        </w:rPr>
        <w:t>机</w:t>
      </w:r>
    </w:p>
    <w:p w14:paraId="0F2762AC" w14:textId="7ABC5051" w:rsidR="00E748C4" w:rsidRDefault="00B35835" w:rsidP="00E748C4">
      <w:pPr>
        <w:tabs>
          <w:tab w:val="left" w:pos="540"/>
        </w:tabs>
        <w:ind w:firstLineChars="100" w:firstLine="210"/>
        <w:jc w:val="center"/>
        <w:rPr>
          <w:rFonts w:ascii="宋体" w:hAnsi="宋体"/>
          <w:bCs/>
          <w:sz w:val="24"/>
        </w:rPr>
      </w:pPr>
      <w:r>
        <w:rPr>
          <w:noProof/>
        </w:rPr>
        <w:drawing>
          <wp:inline distT="0" distB="0" distL="0" distR="0" wp14:anchorId="03B6A0D4" wp14:editId="37381B5D">
            <wp:extent cx="5274310" cy="4719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719955"/>
                    </a:xfrm>
                    <a:prstGeom prst="rect">
                      <a:avLst/>
                    </a:prstGeom>
                    <a:noFill/>
                    <a:ln>
                      <a:noFill/>
                    </a:ln>
                  </pic:spPr>
                </pic:pic>
              </a:graphicData>
            </a:graphic>
          </wp:inline>
        </w:drawing>
      </w:r>
      <w:r w:rsidR="00E748C4">
        <w:rPr>
          <w:rFonts w:ascii="宋体" w:hAnsi="宋体" w:hint="eastAsia"/>
          <w:b/>
          <w:sz w:val="24"/>
        </w:rPr>
        <w:t xml:space="preserve">  </w:t>
      </w:r>
    </w:p>
    <w:p w14:paraId="7501166E" w14:textId="77777777" w:rsidR="00E748C4" w:rsidRDefault="00E748C4" w:rsidP="00E748C4">
      <w:pPr>
        <w:rPr>
          <w:rFonts w:ascii="宋体" w:hAnsi="宋体"/>
          <w:sz w:val="24"/>
        </w:rPr>
      </w:pPr>
    </w:p>
    <w:p w14:paraId="77F62C67" w14:textId="64E1AB20" w:rsidR="00E748C4" w:rsidRDefault="00E748C4" w:rsidP="00552CEB">
      <w:pPr>
        <w:rPr>
          <w:rFonts w:ascii="黑体" w:eastAsia="黑体" w:hAnsi="宋体"/>
          <w:sz w:val="44"/>
        </w:rPr>
      </w:pPr>
      <w:r>
        <w:rPr>
          <w:rFonts w:ascii="宋体" w:hAnsi="宋体" w:hint="eastAsia"/>
          <w:sz w:val="24"/>
        </w:rPr>
        <w:t xml:space="preserve">                   </w:t>
      </w:r>
      <w:r>
        <w:rPr>
          <w:rFonts w:ascii="黑体" w:eastAsia="黑体" w:hAnsi="宋体" w:hint="eastAsia"/>
          <w:sz w:val="44"/>
        </w:rPr>
        <w:t xml:space="preserve"> 课题系统图</w:t>
      </w:r>
    </w:p>
    <w:p w14:paraId="406EC67D" w14:textId="1E72B518" w:rsidR="00552CEB" w:rsidRDefault="00552CEB" w:rsidP="00552CEB">
      <w:pPr>
        <w:rPr>
          <w:rFonts w:ascii="宋体" w:hAnsi="宋体" w:cs="FangSong_GB2312-Identity-H"/>
          <w:bCs/>
          <w:kern w:val="0"/>
          <w:sz w:val="24"/>
        </w:rPr>
      </w:pPr>
      <w:r>
        <w:rPr>
          <w:noProof/>
        </w:rPr>
        <w:drawing>
          <wp:inline distT="0" distB="0" distL="0" distR="0" wp14:anchorId="600E94FE" wp14:editId="28C8124C">
            <wp:extent cx="5274310" cy="25444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544445"/>
                    </a:xfrm>
                    <a:prstGeom prst="rect">
                      <a:avLst/>
                    </a:prstGeom>
                  </pic:spPr>
                </pic:pic>
              </a:graphicData>
            </a:graphic>
          </wp:inline>
        </w:drawing>
      </w:r>
    </w:p>
    <w:p w14:paraId="319A1823" w14:textId="77777777" w:rsidR="00552CEB" w:rsidRPr="00E748C4" w:rsidRDefault="00552CEB" w:rsidP="00552CEB">
      <w:pPr>
        <w:rPr>
          <w:rFonts w:ascii="宋体" w:hAnsi="宋体" w:cs="FangSong_GB2312-Identity-H" w:hint="eastAsia"/>
          <w:bCs/>
          <w:kern w:val="0"/>
          <w:sz w:val="24"/>
        </w:rPr>
      </w:pPr>
    </w:p>
    <w:p w14:paraId="3A125BBC" w14:textId="77777777" w:rsidR="00E748C4" w:rsidRDefault="00E748C4" w:rsidP="00E748C4">
      <w:pPr>
        <w:autoSpaceDE w:val="0"/>
        <w:autoSpaceDN w:val="0"/>
        <w:adjustRightInd w:val="0"/>
        <w:rPr>
          <w:rFonts w:ascii="宋体" w:cs="FangSong_GB2312-Identity-H"/>
          <w:b/>
          <w:bCs/>
          <w:kern w:val="0"/>
          <w:sz w:val="32"/>
          <w:szCs w:val="32"/>
        </w:rPr>
      </w:pPr>
      <w:r>
        <w:rPr>
          <w:rFonts w:ascii="宋体" w:cs="FangSong_GB2312-Identity-H" w:hint="eastAsia"/>
          <w:b/>
          <w:bCs/>
          <w:kern w:val="0"/>
          <w:sz w:val="32"/>
          <w:szCs w:val="32"/>
        </w:rPr>
        <w:lastRenderedPageBreak/>
        <w:t>塔吊模拟机主要技术参数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75"/>
        <w:gridCol w:w="5808"/>
      </w:tblGrid>
      <w:tr w:rsidR="00E748C4" w:rsidRPr="00E748C4" w14:paraId="1C139EC4" w14:textId="77777777" w:rsidTr="003027A9">
        <w:trPr>
          <w:trHeight w:val="573"/>
        </w:trPr>
        <w:tc>
          <w:tcPr>
            <w:tcW w:w="9325" w:type="dxa"/>
            <w:gridSpan w:val="3"/>
          </w:tcPr>
          <w:p w14:paraId="6D561FEC" w14:textId="77777777" w:rsidR="00E748C4" w:rsidRPr="00E748C4" w:rsidRDefault="00E748C4" w:rsidP="00E748C4">
            <w:pPr>
              <w:widowControl/>
              <w:tabs>
                <w:tab w:val="left" w:pos="0"/>
              </w:tabs>
              <w:jc w:val="left"/>
              <w:rPr>
                <w:rFonts w:ascii="黑体" w:eastAsia="黑体" w:hAnsi="黑体"/>
                <w:sz w:val="24"/>
              </w:rPr>
            </w:pPr>
            <w:r w:rsidRPr="00E748C4">
              <w:rPr>
                <w:rFonts w:ascii="黑体" w:eastAsia="黑体" w:hAnsi="黑体" w:hint="eastAsia"/>
                <w:sz w:val="24"/>
              </w:rPr>
              <w:t>塔吊模拟机是针对培训塔吊模拟机驾驶员而自主发明、设计的一套模拟操作培训系统。</w:t>
            </w:r>
          </w:p>
        </w:tc>
      </w:tr>
      <w:tr w:rsidR="00E748C4" w:rsidRPr="00E748C4" w14:paraId="7E734186" w14:textId="77777777" w:rsidTr="003027A9">
        <w:trPr>
          <w:trHeight w:val="450"/>
        </w:trPr>
        <w:tc>
          <w:tcPr>
            <w:tcW w:w="2789" w:type="dxa"/>
            <w:vAlign w:val="center"/>
          </w:tcPr>
          <w:p w14:paraId="37BE8CC3"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软件系统</w:t>
            </w:r>
          </w:p>
          <w:p w14:paraId="242ADA3A" w14:textId="77777777" w:rsidR="00E748C4" w:rsidRPr="00E748C4" w:rsidRDefault="00E748C4" w:rsidP="003027A9">
            <w:pPr>
              <w:spacing w:line="360" w:lineRule="auto"/>
              <w:jc w:val="left"/>
              <w:rPr>
                <w:rFonts w:ascii="黑体" w:eastAsia="黑体" w:hAnsi="黑体"/>
                <w:sz w:val="24"/>
              </w:rPr>
            </w:pPr>
          </w:p>
        </w:tc>
        <w:tc>
          <w:tcPr>
            <w:tcW w:w="6536" w:type="dxa"/>
            <w:gridSpan w:val="2"/>
          </w:tcPr>
          <w:p w14:paraId="1B029E31" w14:textId="77777777" w:rsidR="00E748C4" w:rsidRPr="00E748C4" w:rsidRDefault="00E748C4" w:rsidP="00E748C4">
            <w:pPr>
              <w:widowControl/>
              <w:numPr>
                <w:ilvl w:val="0"/>
                <w:numId w:val="1"/>
              </w:numPr>
              <w:jc w:val="left"/>
              <w:rPr>
                <w:rFonts w:ascii="黑体" w:eastAsia="黑体" w:hAnsi="黑体" w:cs="FangSong_GB2312-Identity-H"/>
                <w:kern w:val="0"/>
                <w:sz w:val="24"/>
              </w:rPr>
            </w:pPr>
            <w:r w:rsidRPr="00E748C4">
              <w:rPr>
                <w:rFonts w:ascii="黑体" w:eastAsia="黑体" w:hAnsi="黑体" w:cs="宋体" w:hint="eastAsia"/>
                <w:kern w:val="0"/>
                <w:sz w:val="24"/>
              </w:rPr>
              <w:t>符合最新</w:t>
            </w:r>
            <w:r w:rsidRPr="00E748C4">
              <w:rPr>
                <w:rFonts w:ascii="黑体" w:eastAsia="黑体" w:hAnsi="黑体" w:hint="eastAsia"/>
                <w:sz w:val="24"/>
              </w:rPr>
              <w:t>塔吊</w:t>
            </w:r>
            <w:r w:rsidRPr="00E748C4">
              <w:rPr>
                <w:rFonts w:ascii="黑体" w:eastAsia="黑体" w:hAnsi="黑体" w:cs="宋体" w:hint="eastAsia"/>
                <w:kern w:val="0"/>
                <w:sz w:val="24"/>
              </w:rPr>
              <w:t>驾驶员培训</w:t>
            </w:r>
            <w:r w:rsidRPr="00E748C4">
              <w:rPr>
                <w:rFonts w:ascii="黑体" w:eastAsia="黑体" w:hAnsi="黑体" w:cs="FangSong_GB2312-Identity-H" w:hint="eastAsia"/>
                <w:kern w:val="0"/>
                <w:sz w:val="24"/>
              </w:rPr>
              <w:t>培训大纲，配备最新的“塔吊模拟仿真系统”版本，软件可升级；</w:t>
            </w:r>
          </w:p>
          <w:p w14:paraId="4E7B7D57" w14:textId="77777777" w:rsidR="00E748C4" w:rsidRPr="00E748C4" w:rsidRDefault="00E748C4" w:rsidP="00E748C4">
            <w:pPr>
              <w:widowControl/>
              <w:numPr>
                <w:ilvl w:val="0"/>
                <w:numId w:val="1"/>
              </w:numPr>
              <w:jc w:val="left"/>
              <w:rPr>
                <w:rFonts w:ascii="黑体" w:eastAsia="黑体" w:hAnsi="黑体" w:cs="FangSong_GB2312-Identity-H"/>
                <w:kern w:val="0"/>
                <w:sz w:val="24"/>
              </w:rPr>
            </w:pPr>
            <w:r w:rsidRPr="00E748C4">
              <w:rPr>
                <w:rFonts w:ascii="黑体" w:eastAsia="黑体" w:hAnsi="黑体" w:cs="FangSong_GB2312-Identity-H" w:hint="eastAsia"/>
                <w:kern w:val="0"/>
                <w:sz w:val="24"/>
              </w:rPr>
              <w:t>软件中均采用塔吊真实比例进行3D模型设计制作。</w:t>
            </w:r>
          </w:p>
          <w:p w14:paraId="72844DA4" w14:textId="77777777" w:rsidR="00E748C4" w:rsidRPr="00E748C4" w:rsidRDefault="00E748C4" w:rsidP="00E748C4">
            <w:pPr>
              <w:widowControl/>
              <w:numPr>
                <w:ilvl w:val="0"/>
                <w:numId w:val="1"/>
              </w:numPr>
              <w:jc w:val="left"/>
              <w:rPr>
                <w:rFonts w:ascii="黑体" w:eastAsia="黑体" w:hAnsi="黑体" w:cs="FangSong_GB2312-Identity-H"/>
                <w:kern w:val="0"/>
                <w:sz w:val="24"/>
              </w:rPr>
            </w:pPr>
            <w:proofErr w:type="gramStart"/>
            <w:r w:rsidRPr="00E748C4">
              <w:rPr>
                <w:rFonts w:ascii="黑体" w:eastAsia="黑体" w:hAnsi="黑体" w:cs="FangSong_GB2312-Identity-H" w:hint="eastAsia"/>
                <w:kern w:val="0"/>
                <w:sz w:val="24"/>
              </w:rPr>
              <w:t>吊运作</w:t>
            </w:r>
            <w:proofErr w:type="gramEnd"/>
            <w:r w:rsidRPr="00E748C4">
              <w:rPr>
                <w:rFonts w:ascii="黑体" w:eastAsia="黑体" w:hAnsi="黑体" w:cs="FangSong_GB2312-Identity-H" w:hint="eastAsia"/>
                <w:kern w:val="0"/>
                <w:sz w:val="24"/>
              </w:rPr>
              <w:t>业变速与力矩限制器、回转制动、电铃、液压顶升、倍率调节按钮、视角</w:t>
            </w:r>
            <w:proofErr w:type="gramStart"/>
            <w:r w:rsidRPr="00E748C4">
              <w:rPr>
                <w:rFonts w:ascii="黑体" w:eastAsia="黑体" w:hAnsi="黑体" w:cs="FangSong_GB2312-Identity-H" w:hint="eastAsia"/>
                <w:kern w:val="0"/>
                <w:sz w:val="24"/>
              </w:rPr>
              <w:t>转换高</w:t>
            </w:r>
            <w:proofErr w:type="gramEnd"/>
            <w:r w:rsidRPr="00E748C4">
              <w:rPr>
                <w:rFonts w:ascii="黑体" w:eastAsia="黑体" w:hAnsi="黑体" w:cs="FangSong_GB2312-Identity-H" w:hint="eastAsia"/>
                <w:kern w:val="0"/>
                <w:sz w:val="24"/>
              </w:rPr>
              <w:t>集成数据电路板及各种功能调节组件等组成，操作时在视屏上显示输出与操作相对应的逼真三维场景并伴有相应语音提示；</w:t>
            </w:r>
          </w:p>
          <w:p w14:paraId="58A38104" w14:textId="77777777" w:rsidR="00E748C4" w:rsidRPr="00E748C4" w:rsidRDefault="00E748C4" w:rsidP="00E748C4">
            <w:pPr>
              <w:widowControl/>
              <w:numPr>
                <w:ilvl w:val="0"/>
                <w:numId w:val="1"/>
              </w:numPr>
              <w:jc w:val="left"/>
              <w:rPr>
                <w:rFonts w:ascii="黑体" w:eastAsia="黑体" w:hAnsi="黑体" w:cs="FangSong_GB2312-Identity-H"/>
                <w:kern w:val="0"/>
                <w:sz w:val="24"/>
              </w:rPr>
            </w:pPr>
            <w:r w:rsidRPr="00E748C4">
              <w:rPr>
                <w:rFonts w:ascii="黑体" w:eastAsia="黑体" w:hAnsi="黑体" w:cs="FangSong_GB2312-Identity-H" w:hint="eastAsia"/>
                <w:kern w:val="0"/>
                <w:sz w:val="24"/>
              </w:rPr>
              <w:t>具备多种工况综合演练的功能；</w:t>
            </w:r>
          </w:p>
          <w:p w14:paraId="13995AC9" w14:textId="77777777" w:rsidR="00E748C4" w:rsidRPr="00E748C4" w:rsidRDefault="00E748C4" w:rsidP="00E748C4">
            <w:pPr>
              <w:widowControl/>
              <w:numPr>
                <w:ilvl w:val="0"/>
                <w:numId w:val="1"/>
              </w:numPr>
              <w:jc w:val="left"/>
              <w:rPr>
                <w:rFonts w:ascii="黑体" w:eastAsia="黑体" w:hAnsi="黑体" w:cs="FangSong_GB2312-Identity-H"/>
                <w:kern w:val="0"/>
                <w:sz w:val="24"/>
              </w:rPr>
            </w:pPr>
            <w:r w:rsidRPr="00E748C4">
              <w:rPr>
                <w:rFonts w:ascii="黑体" w:eastAsia="黑体" w:hAnsi="黑体" w:cs="FangSong_GB2312-Identity-H" w:hint="eastAsia"/>
                <w:kern w:val="0"/>
                <w:sz w:val="24"/>
              </w:rPr>
              <w:t>课题中含有大量的实时错误提示，包括文字提示、语音提示、屏幕闪红等内容。帮助学员及时纠正违规操作和错误动作；</w:t>
            </w:r>
          </w:p>
          <w:p w14:paraId="7D3C8CCF" w14:textId="77777777" w:rsidR="00E748C4" w:rsidRPr="00E748C4" w:rsidRDefault="00E748C4" w:rsidP="00E748C4">
            <w:pPr>
              <w:widowControl/>
              <w:numPr>
                <w:ilvl w:val="0"/>
                <w:numId w:val="1"/>
              </w:numPr>
              <w:ind w:left="143" w:hanging="97"/>
              <w:jc w:val="left"/>
              <w:rPr>
                <w:rFonts w:ascii="黑体" w:eastAsia="黑体" w:hAnsi="黑体" w:cs="FangSong_GB2312-Identity-H"/>
                <w:kern w:val="0"/>
                <w:sz w:val="24"/>
              </w:rPr>
            </w:pPr>
            <w:r w:rsidRPr="00E748C4">
              <w:rPr>
                <w:rFonts w:ascii="黑体" w:eastAsia="黑体" w:hAnsi="黑体" w:cs="FangSong_GB2312-Identity-H" w:hint="eastAsia"/>
                <w:kern w:val="0"/>
                <w:sz w:val="24"/>
              </w:rPr>
              <w:t>基础训练模式：塔吊模拟机可满足设备基础规范操作的要求，可实现顶升作业、降节作业、起吊重物、变幅回转及施工作业的逼真模拟。</w:t>
            </w:r>
          </w:p>
          <w:p w14:paraId="16F2DF75" w14:textId="77777777" w:rsidR="00E748C4" w:rsidRPr="00E748C4" w:rsidRDefault="00E748C4" w:rsidP="00E748C4">
            <w:pPr>
              <w:widowControl/>
              <w:numPr>
                <w:ilvl w:val="0"/>
                <w:numId w:val="1"/>
              </w:numPr>
              <w:ind w:left="143" w:hanging="97"/>
              <w:jc w:val="left"/>
              <w:rPr>
                <w:rFonts w:ascii="黑体" w:eastAsia="黑体" w:hAnsi="黑体"/>
                <w:sz w:val="24"/>
              </w:rPr>
            </w:pPr>
            <w:r w:rsidRPr="00E748C4">
              <w:rPr>
                <w:rFonts w:ascii="黑体" w:eastAsia="黑体" w:hAnsi="黑体" w:cs="FangSong_GB2312-Identity-H" w:hint="eastAsia"/>
                <w:kern w:val="0"/>
                <w:sz w:val="24"/>
              </w:rPr>
              <w:t>课题数目13个：实机训练包含结构认识、塔吊安装、顶升作业、降节作业、塔吊拆卸、起吊重物，考核包含塔吊安装、顶升作业、降节作业、塔吊拆卸、物料提升、吊水桶定点停放、吊水桶击落木块。</w:t>
            </w:r>
          </w:p>
        </w:tc>
      </w:tr>
      <w:tr w:rsidR="00E748C4" w:rsidRPr="00E748C4" w14:paraId="3D6F5F3B" w14:textId="77777777" w:rsidTr="003027A9">
        <w:trPr>
          <w:trHeight w:val="450"/>
        </w:trPr>
        <w:tc>
          <w:tcPr>
            <w:tcW w:w="9325" w:type="dxa"/>
            <w:gridSpan w:val="3"/>
          </w:tcPr>
          <w:p w14:paraId="26A5B076"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硬件系统</w:t>
            </w:r>
          </w:p>
        </w:tc>
      </w:tr>
      <w:tr w:rsidR="00E748C4" w:rsidRPr="00E748C4" w14:paraId="377C7A45" w14:textId="77777777" w:rsidTr="003027A9">
        <w:trPr>
          <w:trHeight w:val="648"/>
        </w:trPr>
        <w:tc>
          <w:tcPr>
            <w:tcW w:w="2988" w:type="dxa"/>
            <w:gridSpan w:val="2"/>
            <w:vAlign w:val="center"/>
          </w:tcPr>
          <w:p w14:paraId="74A53565"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计算机（PC）</w:t>
            </w:r>
          </w:p>
        </w:tc>
        <w:tc>
          <w:tcPr>
            <w:tcW w:w="6337" w:type="dxa"/>
          </w:tcPr>
          <w:p w14:paraId="00FE512A" w14:textId="77777777" w:rsidR="00E748C4" w:rsidRPr="00E748C4" w:rsidRDefault="00E748C4" w:rsidP="003027A9">
            <w:pPr>
              <w:spacing w:line="360" w:lineRule="auto"/>
            </w:pPr>
            <w:r w:rsidRPr="00E748C4">
              <w:rPr>
                <w:rFonts w:ascii="黑体" w:eastAsia="黑体" w:hAnsi="黑体" w:hint="eastAsia"/>
                <w:sz w:val="24"/>
              </w:rPr>
              <w:t>满足软件需求</w:t>
            </w:r>
          </w:p>
        </w:tc>
      </w:tr>
      <w:tr w:rsidR="00E748C4" w:rsidRPr="00E748C4" w14:paraId="3D46C9D3" w14:textId="77777777" w:rsidTr="003027A9">
        <w:trPr>
          <w:trHeight w:val="374"/>
        </w:trPr>
        <w:tc>
          <w:tcPr>
            <w:tcW w:w="2988" w:type="dxa"/>
            <w:gridSpan w:val="2"/>
          </w:tcPr>
          <w:p w14:paraId="3D6B83E2"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视景发生系统</w:t>
            </w:r>
          </w:p>
        </w:tc>
        <w:tc>
          <w:tcPr>
            <w:tcW w:w="6337" w:type="dxa"/>
          </w:tcPr>
          <w:p w14:paraId="60AF39BC" w14:textId="77777777" w:rsidR="00E748C4" w:rsidRPr="00E748C4" w:rsidRDefault="00E748C4" w:rsidP="003027A9">
            <w:pPr>
              <w:spacing w:line="360" w:lineRule="auto"/>
            </w:pPr>
            <w:r w:rsidRPr="00E748C4">
              <w:rPr>
                <w:rFonts w:ascii="黑体" w:eastAsia="黑体" w:hAnsi="黑体"/>
                <w:sz w:val="24"/>
              </w:rPr>
              <w:t>43</w:t>
            </w:r>
            <w:r w:rsidRPr="00E748C4">
              <w:rPr>
                <w:rFonts w:ascii="黑体" w:eastAsia="黑体" w:hAnsi="黑体" w:hint="eastAsia"/>
                <w:sz w:val="24"/>
              </w:rPr>
              <w:t>英寸电视显示系统</w:t>
            </w:r>
          </w:p>
        </w:tc>
      </w:tr>
      <w:tr w:rsidR="00E748C4" w:rsidRPr="00E748C4" w14:paraId="3308A307" w14:textId="77777777" w:rsidTr="003027A9">
        <w:trPr>
          <w:trHeight w:val="374"/>
        </w:trPr>
        <w:tc>
          <w:tcPr>
            <w:tcW w:w="2988" w:type="dxa"/>
            <w:gridSpan w:val="2"/>
          </w:tcPr>
          <w:p w14:paraId="5FB9660A"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高集成数据电路板</w:t>
            </w:r>
          </w:p>
        </w:tc>
        <w:tc>
          <w:tcPr>
            <w:tcW w:w="6337" w:type="dxa"/>
          </w:tcPr>
          <w:p w14:paraId="668C64EC" w14:textId="10C6FD62" w:rsidR="00E748C4" w:rsidRPr="00E748C4" w:rsidRDefault="00E748C4" w:rsidP="003027A9">
            <w:pPr>
              <w:spacing w:line="360" w:lineRule="auto"/>
              <w:rPr>
                <w:rFonts w:ascii="黑体" w:eastAsia="黑体" w:hAnsi="黑体"/>
                <w:sz w:val="24"/>
              </w:rPr>
            </w:pPr>
            <w:r w:rsidRPr="00E748C4">
              <w:rPr>
                <w:rFonts w:ascii="黑体" w:eastAsia="黑体" w:hAnsi="黑体" w:hint="eastAsia"/>
                <w:sz w:val="24"/>
              </w:rPr>
              <w:t>自主研发的高集成数据电路板</w:t>
            </w:r>
          </w:p>
        </w:tc>
      </w:tr>
      <w:tr w:rsidR="00E748C4" w:rsidRPr="00E748C4" w14:paraId="78D9DD15" w14:textId="77777777" w:rsidTr="003027A9">
        <w:trPr>
          <w:trHeight w:val="311"/>
        </w:trPr>
        <w:tc>
          <w:tcPr>
            <w:tcW w:w="2988" w:type="dxa"/>
            <w:gridSpan w:val="2"/>
          </w:tcPr>
          <w:p w14:paraId="6D630F98"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座椅</w:t>
            </w:r>
          </w:p>
        </w:tc>
        <w:tc>
          <w:tcPr>
            <w:tcW w:w="6337" w:type="dxa"/>
          </w:tcPr>
          <w:p w14:paraId="0C5A2213" w14:textId="77777777" w:rsidR="00E748C4" w:rsidRPr="00E748C4" w:rsidRDefault="00E748C4" w:rsidP="003027A9">
            <w:pPr>
              <w:spacing w:line="360" w:lineRule="auto"/>
              <w:rPr>
                <w:rFonts w:ascii="黑体" w:eastAsia="黑体" w:hAnsi="黑体"/>
                <w:sz w:val="24"/>
              </w:rPr>
            </w:pPr>
            <w:r w:rsidRPr="00E748C4">
              <w:rPr>
                <w:rFonts w:ascii="黑体" w:eastAsia="黑体" w:hAnsi="黑体" w:hint="eastAsia"/>
                <w:sz w:val="24"/>
              </w:rPr>
              <w:t>工程机械专用型（承载重量＞100KG）</w:t>
            </w:r>
          </w:p>
        </w:tc>
      </w:tr>
      <w:tr w:rsidR="00E748C4" w:rsidRPr="00E748C4" w14:paraId="436C6A18" w14:textId="77777777" w:rsidTr="003027A9">
        <w:tc>
          <w:tcPr>
            <w:tcW w:w="2988" w:type="dxa"/>
            <w:gridSpan w:val="2"/>
            <w:vMerge w:val="restart"/>
          </w:tcPr>
          <w:p w14:paraId="590378F2" w14:textId="77777777" w:rsidR="00E748C4" w:rsidRPr="00E748C4" w:rsidRDefault="00E748C4" w:rsidP="003027A9">
            <w:pPr>
              <w:spacing w:line="360" w:lineRule="auto"/>
              <w:jc w:val="center"/>
              <w:rPr>
                <w:rFonts w:ascii="黑体" w:eastAsia="黑体" w:hAnsi="黑体"/>
                <w:sz w:val="24"/>
              </w:rPr>
            </w:pPr>
          </w:p>
        </w:tc>
        <w:tc>
          <w:tcPr>
            <w:tcW w:w="6337" w:type="dxa"/>
          </w:tcPr>
          <w:p w14:paraId="7543C1BD" w14:textId="77777777" w:rsidR="00E748C4" w:rsidRPr="00E748C4" w:rsidRDefault="00E748C4" w:rsidP="003027A9">
            <w:pPr>
              <w:spacing w:line="360" w:lineRule="auto"/>
              <w:rPr>
                <w:rFonts w:ascii="黑体" w:eastAsia="黑体" w:hAnsi="黑体"/>
                <w:sz w:val="24"/>
              </w:rPr>
            </w:pPr>
            <w:proofErr w:type="gramStart"/>
            <w:r w:rsidRPr="00E748C4">
              <w:rPr>
                <w:rFonts w:ascii="黑体" w:eastAsia="黑体" w:hAnsi="黑体" w:hint="eastAsia"/>
                <w:sz w:val="24"/>
              </w:rPr>
              <w:t>吊运作</w:t>
            </w:r>
            <w:proofErr w:type="gramEnd"/>
            <w:r w:rsidRPr="00E748C4">
              <w:rPr>
                <w:rFonts w:ascii="黑体" w:eastAsia="黑体" w:hAnsi="黑体" w:hint="eastAsia"/>
                <w:sz w:val="24"/>
              </w:rPr>
              <w:t xml:space="preserve">业变速与力矩限制器 </w:t>
            </w:r>
            <w:proofErr w:type="gramStart"/>
            <w:r w:rsidRPr="00E748C4">
              <w:rPr>
                <w:rFonts w:ascii="黑体" w:eastAsia="黑体" w:hAnsi="黑体" w:hint="eastAsia"/>
                <w:sz w:val="24"/>
              </w:rPr>
              <w:t>吊运作</w:t>
            </w:r>
            <w:proofErr w:type="gramEnd"/>
            <w:r w:rsidRPr="00E748C4">
              <w:rPr>
                <w:rFonts w:ascii="黑体" w:eastAsia="黑体" w:hAnsi="黑体" w:hint="eastAsia"/>
                <w:sz w:val="24"/>
              </w:rPr>
              <w:t>业变速控制</w:t>
            </w:r>
            <w:proofErr w:type="gramStart"/>
            <w:r w:rsidRPr="00E748C4">
              <w:rPr>
                <w:rFonts w:ascii="黑体" w:eastAsia="黑体" w:hAnsi="黑体" w:hint="eastAsia"/>
                <w:sz w:val="24"/>
              </w:rPr>
              <w:t>杆配合</w:t>
            </w:r>
            <w:proofErr w:type="gramEnd"/>
            <w:r w:rsidRPr="00E748C4">
              <w:rPr>
                <w:rFonts w:ascii="黑体" w:eastAsia="黑体" w:hAnsi="黑体" w:hint="eastAsia"/>
                <w:sz w:val="24"/>
              </w:rPr>
              <w:t>设备软件中的声音、速度模块可以进行各种</w:t>
            </w:r>
            <w:proofErr w:type="gramStart"/>
            <w:r w:rsidRPr="00E748C4">
              <w:rPr>
                <w:rFonts w:ascii="黑体" w:eastAsia="黑体" w:hAnsi="黑体" w:hint="eastAsia"/>
                <w:sz w:val="24"/>
              </w:rPr>
              <w:t>吊运作</w:t>
            </w:r>
            <w:proofErr w:type="gramEnd"/>
            <w:r w:rsidRPr="00E748C4">
              <w:rPr>
                <w:rFonts w:ascii="黑体" w:eastAsia="黑体" w:hAnsi="黑体" w:hint="eastAsia"/>
                <w:sz w:val="24"/>
              </w:rPr>
              <w:t>业变速的调整操作，可实现与真机同步相同的变化效果。当塔吊起吊重物超过力矩限制器规定的参数后，所有部件被锁死，可避免因误操作而造成倾翻等重大安全事故！这部分与真机具有相同的外观。</w:t>
            </w:r>
          </w:p>
        </w:tc>
      </w:tr>
      <w:tr w:rsidR="00E748C4" w:rsidRPr="00E748C4" w14:paraId="4C6FC716" w14:textId="77777777" w:rsidTr="003027A9">
        <w:tc>
          <w:tcPr>
            <w:tcW w:w="2988" w:type="dxa"/>
            <w:gridSpan w:val="2"/>
            <w:vMerge/>
          </w:tcPr>
          <w:p w14:paraId="312EED11" w14:textId="77777777" w:rsidR="00E748C4" w:rsidRPr="00E748C4" w:rsidRDefault="00E748C4" w:rsidP="003027A9">
            <w:pPr>
              <w:spacing w:line="360" w:lineRule="auto"/>
              <w:jc w:val="center"/>
              <w:rPr>
                <w:rFonts w:ascii="黑体" w:eastAsia="黑体" w:hAnsi="黑体"/>
                <w:sz w:val="24"/>
              </w:rPr>
            </w:pPr>
          </w:p>
        </w:tc>
        <w:tc>
          <w:tcPr>
            <w:tcW w:w="6337" w:type="dxa"/>
          </w:tcPr>
          <w:p w14:paraId="7049708D" w14:textId="0F6AD701" w:rsidR="00E748C4" w:rsidRPr="00E748C4" w:rsidRDefault="00E748C4" w:rsidP="003027A9">
            <w:pPr>
              <w:spacing w:line="360" w:lineRule="auto"/>
              <w:rPr>
                <w:rFonts w:ascii="黑体" w:eastAsia="黑体" w:hAnsi="黑体"/>
                <w:sz w:val="24"/>
              </w:rPr>
            </w:pPr>
            <w:r w:rsidRPr="00E748C4">
              <w:rPr>
                <w:rFonts w:ascii="黑体" w:eastAsia="黑体" w:hAnsi="黑体" w:hint="eastAsia"/>
                <w:sz w:val="24"/>
              </w:rPr>
              <w:t>功能组合控制按钮能优于一般按钮开关，自主研发。功能组合控制按钮组件有：薄膜开关功能键和开/关机功能键。薄膜开关面板由视角切换键、课题选择键、</w:t>
            </w:r>
            <w:r w:rsidRPr="00E748C4">
              <w:rPr>
                <w:rFonts w:ascii="黑体" w:eastAsia="黑体" w:hAnsi="黑体" w:hint="eastAsia"/>
                <w:sz w:val="24"/>
              </w:rPr>
              <w:lastRenderedPageBreak/>
              <w:t>课题退出键组成。开/关机功能键可实现开/关电脑主机功能。</w:t>
            </w:r>
          </w:p>
        </w:tc>
      </w:tr>
      <w:tr w:rsidR="00E748C4" w:rsidRPr="00E748C4" w14:paraId="0FF3A8A4" w14:textId="77777777" w:rsidTr="003027A9">
        <w:trPr>
          <w:trHeight w:val="164"/>
        </w:trPr>
        <w:tc>
          <w:tcPr>
            <w:tcW w:w="2988" w:type="dxa"/>
            <w:gridSpan w:val="2"/>
          </w:tcPr>
          <w:p w14:paraId="77356630"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lastRenderedPageBreak/>
              <w:t>设备电压及功率</w:t>
            </w:r>
          </w:p>
        </w:tc>
        <w:tc>
          <w:tcPr>
            <w:tcW w:w="6337" w:type="dxa"/>
          </w:tcPr>
          <w:p w14:paraId="569E3F6A" w14:textId="0615457C" w:rsidR="00E748C4" w:rsidRPr="00E748C4" w:rsidRDefault="00E748C4" w:rsidP="003027A9">
            <w:pPr>
              <w:spacing w:line="360" w:lineRule="auto"/>
              <w:rPr>
                <w:rFonts w:ascii="黑体" w:eastAsia="黑体" w:hAnsi="黑体"/>
                <w:sz w:val="24"/>
              </w:rPr>
            </w:pPr>
            <w:r w:rsidRPr="00E748C4">
              <w:rPr>
                <w:rFonts w:ascii="黑体" w:eastAsia="黑体" w:hAnsi="黑体" w:hint="eastAsia"/>
                <w:sz w:val="24"/>
              </w:rPr>
              <w:t>220V国家标准电压     单台功率300W</w:t>
            </w:r>
          </w:p>
        </w:tc>
      </w:tr>
      <w:tr w:rsidR="00E748C4" w:rsidRPr="00E748C4" w14:paraId="4343A932" w14:textId="77777777" w:rsidTr="003027A9">
        <w:trPr>
          <w:trHeight w:val="398"/>
        </w:trPr>
        <w:tc>
          <w:tcPr>
            <w:tcW w:w="9325" w:type="dxa"/>
            <w:gridSpan w:val="3"/>
          </w:tcPr>
          <w:p w14:paraId="11995AF8"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外观尺寸及重量</w:t>
            </w:r>
          </w:p>
        </w:tc>
      </w:tr>
      <w:tr w:rsidR="00E748C4" w:rsidRPr="00E748C4" w14:paraId="03F23ECD" w14:textId="77777777" w:rsidTr="003027A9">
        <w:trPr>
          <w:trHeight w:val="347"/>
        </w:trPr>
        <w:tc>
          <w:tcPr>
            <w:tcW w:w="2988" w:type="dxa"/>
            <w:gridSpan w:val="2"/>
          </w:tcPr>
          <w:p w14:paraId="15BEB97C"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外观机体结构及特点</w:t>
            </w:r>
          </w:p>
        </w:tc>
        <w:tc>
          <w:tcPr>
            <w:tcW w:w="6337" w:type="dxa"/>
          </w:tcPr>
          <w:p w14:paraId="50DE871D" w14:textId="77777777" w:rsidR="00E748C4" w:rsidRPr="00E748C4" w:rsidRDefault="00E748C4" w:rsidP="00E748C4">
            <w:pPr>
              <w:widowControl/>
              <w:tabs>
                <w:tab w:val="left" w:pos="0"/>
              </w:tabs>
              <w:jc w:val="left"/>
              <w:rPr>
                <w:rFonts w:ascii="黑体" w:eastAsia="黑体" w:hAnsi="黑体"/>
                <w:sz w:val="24"/>
              </w:rPr>
            </w:pPr>
            <w:r w:rsidRPr="00E748C4">
              <w:rPr>
                <w:rFonts w:ascii="黑体" w:eastAsia="黑体" w:hAnsi="黑体" w:hint="eastAsia"/>
                <w:sz w:val="24"/>
              </w:rPr>
              <w:t>产品</w:t>
            </w:r>
            <w:proofErr w:type="gramStart"/>
            <w:r w:rsidRPr="00E748C4">
              <w:rPr>
                <w:rFonts w:ascii="黑体" w:eastAsia="黑体" w:hAnsi="黑体" w:hint="eastAsia"/>
                <w:sz w:val="24"/>
              </w:rPr>
              <w:t>外观机体系</w:t>
            </w:r>
            <w:proofErr w:type="gramEnd"/>
            <w:r w:rsidRPr="00E748C4">
              <w:rPr>
                <w:rFonts w:ascii="黑体" w:eastAsia="黑体" w:hAnsi="黑体" w:hint="eastAsia"/>
                <w:sz w:val="24"/>
              </w:rPr>
              <w:t>铁质</w:t>
            </w:r>
            <w:r w:rsidRPr="00E748C4">
              <w:rPr>
                <w:rFonts w:ascii="黑体" w:eastAsia="黑体" w:hAnsi="黑体" w:cs="Trebuchet MS" w:hint="eastAsia"/>
                <w:bCs/>
                <w:sz w:val="24"/>
              </w:rPr>
              <w:t>一体化、半包围式结构，全部喷塑</w:t>
            </w:r>
            <w:r w:rsidRPr="00E748C4">
              <w:rPr>
                <w:rFonts w:ascii="黑体" w:eastAsia="黑体" w:hAnsi="黑体" w:hint="eastAsia"/>
                <w:sz w:val="24"/>
              </w:rPr>
              <w:t>工程机械</w:t>
            </w:r>
            <w:proofErr w:type="gramStart"/>
            <w:r w:rsidRPr="00E748C4">
              <w:rPr>
                <w:rFonts w:ascii="黑体" w:eastAsia="黑体" w:hAnsi="黑体" w:hint="eastAsia"/>
                <w:sz w:val="24"/>
              </w:rPr>
              <w:t>专有色</w:t>
            </w:r>
            <w:proofErr w:type="gramEnd"/>
            <w:r w:rsidRPr="00E748C4">
              <w:rPr>
                <w:rFonts w:ascii="黑体" w:eastAsia="黑体" w:hAnsi="黑体" w:hint="eastAsia"/>
                <w:sz w:val="24"/>
              </w:rPr>
              <w:t>--黄色。色泽均匀，耐磨不退色。</w:t>
            </w:r>
          </w:p>
        </w:tc>
      </w:tr>
      <w:tr w:rsidR="00E748C4" w:rsidRPr="00E748C4" w14:paraId="7EA56253" w14:textId="77777777" w:rsidTr="003027A9">
        <w:trPr>
          <w:trHeight w:val="347"/>
        </w:trPr>
        <w:tc>
          <w:tcPr>
            <w:tcW w:w="2988" w:type="dxa"/>
            <w:gridSpan w:val="2"/>
          </w:tcPr>
          <w:p w14:paraId="7F5FFB16"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尺寸</w:t>
            </w:r>
          </w:p>
        </w:tc>
        <w:tc>
          <w:tcPr>
            <w:tcW w:w="6337" w:type="dxa"/>
          </w:tcPr>
          <w:p w14:paraId="2030792C" w14:textId="77777777" w:rsidR="00E748C4" w:rsidRPr="00E748C4" w:rsidRDefault="00E748C4" w:rsidP="003027A9">
            <w:pPr>
              <w:spacing w:line="360" w:lineRule="auto"/>
              <w:rPr>
                <w:rFonts w:ascii="黑体" w:eastAsia="黑体" w:hAnsi="黑体"/>
                <w:sz w:val="24"/>
              </w:rPr>
            </w:pPr>
            <w:r w:rsidRPr="00E748C4">
              <w:rPr>
                <w:rFonts w:ascii="黑体" w:eastAsia="黑体" w:hAnsi="黑体" w:hint="eastAsia"/>
                <w:sz w:val="24"/>
              </w:rPr>
              <w:t>1</w:t>
            </w:r>
            <w:r w:rsidRPr="00E748C4">
              <w:rPr>
                <w:rFonts w:ascii="黑体" w:eastAsia="黑体" w:hAnsi="黑体"/>
                <w:sz w:val="24"/>
              </w:rPr>
              <w:t>3</w:t>
            </w:r>
            <w:r w:rsidRPr="00E748C4">
              <w:rPr>
                <w:rFonts w:ascii="黑体" w:eastAsia="黑体" w:hAnsi="黑体" w:hint="eastAsia"/>
                <w:sz w:val="24"/>
              </w:rPr>
              <w:t>00mm*</w:t>
            </w:r>
            <w:r w:rsidRPr="00E748C4">
              <w:rPr>
                <w:rFonts w:ascii="黑体" w:eastAsia="黑体" w:hAnsi="黑体"/>
                <w:sz w:val="24"/>
              </w:rPr>
              <w:t>83</w:t>
            </w:r>
            <w:r w:rsidRPr="00E748C4">
              <w:rPr>
                <w:rFonts w:ascii="黑体" w:eastAsia="黑体" w:hAnsi="黑体" w:hint="eastAsia"/>
                <w:sz w:val="24"/>
              </w:rPr>
              <w:t>0mm*</w:t>
            </w:r>
            <w:r w:rsidRPr="00E748C4">
              <w:rPr>
                <w:rFonts w:ascii="黑体" w:eastAsia="黑体" w:hAnsi="黑体"/>
                <w:sz w:val="24"/>
              </w:rPr>
              <w:t>13</w:t>
            </w:r>
            <w:r w:rsidRPr="00E748C4">
              <w:rPr>
                <w:rFonts w:ascii="黑体" w:eastAsia="黑体" w:hAnsi="黑体" w:hint="eastAsia"/>
                <w:sz w:val="24"/>
              </w:rPr>
              <w:t>00m（长*宽*高）</w:t>
            </w:r>
          </w:p>
        </w:tc>
      </w:tr>
      <w:tr w:rsidR="00E748C4" w:rsidRPr="00E748C4" w14:paraId="65C9094B" w14:textId="77777777" w:rsidTr="003027A9">
        <w:tc>
          <w:tcPr>
            <w:tcW w:w="2988" w:type="dxa"/>
            <w:gridSpan w:val="2"/>
          </w:tcPr>
          <w:p w14:paraId="29BA0616" w14:textId="77777777" w:rsidR="00E748C4" w:rsidRPr="00E748C4" w:rsidRDefault="00E748C4" w:rsidP="003027A9">
            <w:pPr>
              <w:spacing w:line="360" w:lineRule="auto"/>
              <w:jc w:val="center"/>
              <w:rPr>
                <w:rFonts w:ascii="黑体" w:eastAsia="黑体" w:hAnsi="黑体"/>
                <w:sz w:val="24"/>
              </w:rPr>
            </w:pPr>
            <w:r w:rsidRPr="00E748C4">
              <w:rPr>
                <w:rFonts w:ascii="黑体" w:eastAsia="黑体" w:hAnsi="黑体" w:hint="eastAsia"/>
                <w:sz w:val="24"/>
              </w:rPr>
              <w:t>净重</w:t>
            </w:r>
          </w:p>
        </w:tc>
        <w:tc>
          <w:tcPr>
            <w:tcW w:w="6337" w:type="dxa"/>
          </w:tcPr>
          <w:p w14:paraId="60883E40" w14:textId="77777777" w:rsidR="00E748C4" w:rsidRPr="00E748C4" w:rsidRDefault="00E748C4" w:rsidP="003027A9">
            <w:pPr>
              <w:spacing w:line="360" w:lineRule="auto"/>
              <w:rPr>
                <w:rFonts w:ascii="黑体" w:eastAsia="黑体" w:hAnsi="黑体"/>
                <w:sz w:val="24"/>
              </w:rPr>
            </w:pPr>
            <w:r w:rsidRPr="00E748C4">
              <w:rPr>
                <w:rFonts w:ascii="黑体" w:eastAsia="黑体" w:hAnsi="黑体"/>
                <w:sz w:val="24"/>
              </w:rPr>
              <w:t>90</w:t>
            </w:r>
            <w:r w:rsidRPr="00E748C4">
              <w:rPr>
                <w:rFonts w:ascii="黑体" w:eastAsia="黑体" w:hAnsi="黑体" w:hint="eastAsia"/>
                <w:sz w:val="24"/>
              </w:rPr>
              <w:t>Kg</w:t>
            </w:r>
          </w:p>
        </w:tc>
      </w:tr>
    </w:tbl>
    <w:p w14:paraId="6C767F99" w14:textId="77777777" w:rsidR="00E748C4" w:rsidRDefault="00E748C4" w:rsidP="00E748C4"/>
    <w:p w14:paraId="6A4F0B7F" w14:textId="77777777" w:rsidR="002125DA" w:rsidRDefault="002125DA"/>
    <w:sectPr w:rsidR="002125DA"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3D4" w14:textId="77777777" w:rsidR="00366CD1" w:rsidRDefault="00366CD1" w:rsidP="00E748C4">
      <w:r>
        <w:separator/>
      </w:r>
    </w:p>
  </w:endnote>
  <w:endnote w:type="continuationSeparator" w:id="0">
    <w:p w14:paraId="1C6336F8" w14:textId="77777777" w:rsidR="00366CD1" w:rsidRDefault="00366CD1" w:rsidP="00E7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_GB2312-Identity-H">
    <w:altName w:val="黑体"/>
    <w:charset w:val="86"/>
    <w:family w:val="auto"/>
    <w:pitch w:val="default"/>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D3A7" w14:textId="77777777" w:rsidR="00366CD1" w:rsidRDefault="00366CD1" w:rsidP="00E748C4">
      <w:r>
        <w:separator/>
      </w:r>
    </w:p>
  </w:footnote>
  <w:footnote w:type="continuationSeparator" w:id="0">
    <w:p w14:paraId="2066F792" w14:textId="77777777" w:rsidR="00366CD1" w:rsidRDefault="00366CD1" w:rsidP="00E7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suff w:val="nothing"/>
      <w:lvlText w:val="%1."/>
      <w:lvlJc w:val="left"/>
    </w:lvl>
  </w:abstractNum>
  <w:num w:numId="1" w16cid:durableId="54409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83EA5"/>
    <w:rsid w:val="00201F6C"/>
    <w:rsid w:val="002125DA"/>
    <w:rsid w:val="00366CD1"/>
    <w:rsid w:val="00552CEB"/>
    <w:rsid w:val="007461F7"/>
    <w:rsid w:val="00783EA5"/>
    <w:rsid w:val="00956E88"/>
    <w:rsid w:val="00A94623"/>
    <w:rsid w:val="00B35835"/>
    <w:rsid w:val="00BC4962"/>
    <w:rsid w:val="00E748C4"/>
    <w:rsid w:val="00FD4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4C1A"/>
  <w15:chartTrackingRefBased/>
  <w15:docId w15:val="{3AB3E454-816D-4940-920A-4BC6F88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8C4"/>
    <w:pPr>
      <w:widowControl w:val="0"/>
      <w:jc w:val="both"/>
    </w:pPr>
    <w:rPr>
      <w:rFonts w:ascii="Times New Roman" w:eastAsia="宋体" w:hAnsi="Times New Roman" w:cs="Times New Roman"/>
      <w:szCs w:val="20"/>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E748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8C4"/>
    <w:rPr>
      <w:sz w:val="18"/>
      <w:szCs w:val="18"/>
    </w:rPr>
  </w:style>
  <w:style w:type="paragraph" w:styleId="a5">
    <w:name w:val="footer"/>
    <w:basedOn w:val="a"/>
    <w:link w:val="a6"/>
    <w:uiPriority w:val="99"/>
    <w:unhideWhenUsed/>
    <w:rsid w:val="00E748C4"/>
    <w:pPr>
      <w:tabs>
        <w:tab w:val="center" w:pos="4153"/>
        <w:tab w:val="right" w:pos="8306"/>
      </w:tabs>
      <w:snapToGrid w:val="0"/>
      <w:jc w:val="left"/>
    </w:pPr>
    <w:rPr>
      <w:sz w:val="18"/>
      <w:szCs w:val="18"/>
    </w:rPr>
  </w:style>
  <w:style w:type="character" w:customStyle="1" w:styleId="a6">
    <w:name w:val="页脚 字符"/>
    <w:basedOn w:val="a0"/>
    <w:link w:val="a5"/>
    <w:uiPriority w:val="99"/>
    <w:rsid w:val="00E74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Words>
  <Characters>813</Characters>
  <Application>Microsoft Office Word</Application>
  <DocSecurity>0</DocSecurity>
  <Lines>6</Lines>
  <Paragraphs>1</Paragraphs>
  <ScaleCrop>false</ScaleCrop>
  <Manager>上海顶邦教育设备制造有限公司;</Manager>
  <Company>上海顶邦教育设备制造有限公司;</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2022-06-16T07:28:00Z</dcterms:created>
  <dcterms:modified xsi:type="dcterms:W3CDTF">2023-03-16T01:21:00Z</dcterms:modified>
</cp:coreProperties>
</file>