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23F5" w14:textId="458BA310" w:rsidR="00716E4E" w:rsidRPr="00B23DE7" w:rsidRDefault="003C040F" w:rsidP="003C040F">
      <w:pPr>
        <w:jc w:val="center"/>
        <w:rPr>
          <w:rFonts w:ascii="微软雅黑" w:eastAsia="微软雅黑" w:hAnsi="微软雅黑"/>
          <w:b/>
          <w:bCs/>
          <w:sz w:val="28"/>
          <w:szCs w:val="28"/>
        </w:rPr>
      </w:pPr>
      <w:r w:rsidRPr="00B23DE7">
        <w:rPr>
          <w:rFonts w:ascii="微软雅黑" w:eastAsia="微软雅黑" w:hAnsi="微软雅黑" w:hint="eastAsia"/>
          <w:b/>
          <w:bCs/>
          <w:sz w:val="28"/>
          <w:szCs w:val="28"/>
        </w:rPr>
        <w:t>D</w:t>
      </w:r>
      <w:r w:rsidRPr="00B23DE7">
        <w:rPr>
          <w:rFonts w:ascii="微软雅黑" w:eastAsia="微软雅黑" w:hAnsi="微软雅黑"/>
          <w:b/>
          <w:bCs/>
          <w:sz w:val="28"/>
          <w:szCs w:val="28"/>
        </w:rPr>
        <w:t>B-HY02</w:t>
      </w:r>
      <w:hyperlink r:id="rId6" w:history="1">
        <w:r w:rsidRPr="00B23DE7">
          <w:rPr>
            <w:rStyle w:val="a8"/>
            <w:rFonts w:ascii="微软雅黑" w:eastAsia="微软雅黑" w:hAnsi="微软雅黑" w:hint="eastAsia"/>
            <w:b/>
            <w:bCs/>
            <w:color w:val="auto"/>
            <w:sz w:val="28"/>
            <w:szCs w:val="28"/>
            <w:u w:val="none"/>
          </w:rPr>
          <w:t>可见火焰传播速度演示装置</w:t>
        </w:r>
      </w:hyperlink>
    </w:p>
    <w:p w14:paraId="056166F4" w14:textId="4FFEE670" w:rsidR="003C040F" w:rsidRPr="00B23DE7" w:rsidRDefault="003C040F" w:rsidP="003C040F">
      <w:pPr>
        <w:jc w:val="center"/>
        <w:rPr>
          <w:rFonts w:ascii="微软雅黑" w:eastAsia="微软雅黑" w:hAnsi="微软雅黑"/>
          <w:sz w:val="28"/>
          <w:szCs w:val="28"/>
        </w:rPr>
      </w:pPr>
      <w:r w:rsidRPr="00B23DE7">
        <w:rPr>
          <w:rFonts w:ascii="微软雅黑" w:eastAsia="微软雅黑" w:hAnsi="微软雅黑" w:hint="eastAsia"/>
          <w:noProof/>
          <w:sz w:val="28"/>
          <w:szCs w:val="28"/>
        </w:rPr>
        <w:drawing>
          <wp:inline distT="0" distB="0" distL="0" distR="0" wp14:anchorId="04B7636E" wp14:editId="7A601B38">
            <wp:extent cx="3764280" cy="4047216"/>
            <wp:effectExtent l="0" t="0" r="7620" b="0"/>
            <wp:docPr id="1" name="图片 1" descr="火焰传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火焰传播"/>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0134" cy="4053510"/>
                    </a:xfrm>
                    <a:prstGeom prst="rect">
                      <a:avLst/>
                    </a:prstGeom>
                    <a:noFill/>
                    <a:ln>
                      <a:noFill/>
                    </a:ln>
                  </pic:spPr>
                </pic:pic>
              </a:graphicData>
            </a:graphic>
          </wp:inline>
        </w:drawing>
      </w:r>
    </w:p>
    <w:p w14:paraId="47DD6997" w14:textId="77777777" w:rsidR="003C040F" w:rsidRPr="00B23DE7" w:rsidRDefault="003C040F" w:rsidP="003C040F">
      <w:pPr>
        <w:rPr>
          <w:rFonts w:ascii="微软雅黑" w:eastAsia="微软雅黑" w:hAnsi="微软雅黑"/>
          <w:sz w:val="28"/>
          <w:szCs w:val="28"/>
        </w:rPr>
      </w:pPr>
      <w:r w:rsidRPr="00B23DE7">
        <w:rPr>
          <w:rFonts w:ascii="微软雅黑" w:eastAsia="微软雅黑" w:hAnsi="微软雅黑" w:hint="eastAsia"/>
          <w:sz w:val="28"/>
          <w:szCs w:val="28"/>
        </w:rPr>
        <w:t>可见火焰传播速度演示装置对使用静态法演示静止混合可燃气体火焰传播的过程</w:t>
      </w:r>
    </w:p>
    <w:p w14:paraId="14289AE7" w14:textId="77777777" w:rsidR="003C040F" w:rsidRPr="00B23DE7" w:rsidRDefault="003C040F" w:rsidP="003C040F">
      <w:pPr>
        <w:rPr>
          <w:rFonts w:ascii="微软雅黑" w:eastAsia="微软雅黑" w:hAnsi="微软雅黑"/>
          <w:sz w:val="28"/>
          <w:szCs w:val="28"/>
        </w:rPr>
      </w:pPr>
      <w:r w:rsidRPr="00B23DE7">
        <w:rPr>
          <w:rFonts w:ascii="微软雅黑" w:eastAsia="微软雅黑" w:hAnsi="微软雅黑" w:hint="eastAsia"/>
          <w:sz w:val="28"/>
          <w:szCs w:val="28"/>
        </w:rPr>
        <w:t>主要用途：</w:t>
      </w:r>
    </w:p>
    <w:p w14:paraId="74CB499C" w14:textId="77777777" w:rsidR="003C040F" w:rsidRPr="00B23DE7" w:rsidRDefault="003C040F" w:rsidP="003C040F">
      <w:pPr>
        <w:rPr>
          <w:rFonts w:ascii="微软雅黑" w:eastAsia="微软雅黑" w:hAnsi="微软雅黑"/>
          <w:sz w:val="28"/>
          <w:szCs w:val="28"/>
        </w:rPr>
      </w:pPr>
      <w:r w:rsidRPr="00B23DE7">
        <w:rPr>
          <w:rFonts w:ascii="微软雅黑" w:eastAsia="微软雅黑" w:hAnsi="微软雅黑"/>
          <w:sz w:val="28"/>
          <w:szCs w:val="28"/>
        </w:rPr>
        <w:t>1、使用静态法演示静止混合可燃气体火焰传播的过程。</w:t>
      </w:r>
    </w:p>
    <w:p w14:paraId="35D3E0A1" w14:textId="77777777" w:rsidR="003C040F" w:rsidRPr="00B23DE7" w:rsidRDefault="003C040F" w:rsidP="003C040F">
      <w:pPr>
        <w:rPr>
          <w:rFonts w:ascii="微软雅黑" w:eastAsia="微软雅黑" w:hAnsi="微软雅黑"/>
          <w:sz w:val="28"/>
          <w:szCs w:val="28"/>
        </w:rPr>
      </w:pPr>
      <w:r w:rsidRPr="00B23DE7">
        <w:rPr>
          <w:rFonts w:ascii="微软雅黑" w:eastAsia="微软雅黑" w:hAnsi="微软雅黑"/>
          <w:sz w:val="28"/>
          <w:szCs w:val="28"/>
        </w:rPr>
        <w:t>2、掌握测量层流火焰传播速度的另一种方法。</w:t>
      </w:r>
    </w:p>
    <w:p w14:paraId="1C5D5D2D" w14:textId="77777777" w:rsidR="003C040F" w:rsidRPr="00B23DE7" w:rsidRDefault="003C040F" w:rsidP="003C040F">
      <w:pPr>
        <w:rPr>
          <w:rFonts w:ascii="微软雅黑" w:eastAsia="微软雅黑" w:hAnsi="微软雅黑"/>
          <w:sz w:val="28"/>
          <w:szCs w:val="28"/>
        </w:rPr>
      </w:pPr>
      <w:r w:rsidRPr="00B23DE7">
        <w:rPr>
          <w:rFonts w:ascii="微软雅黑" w:eastAsia="微软雅黑" w:hAnsi="微软雅黑" w:hint="eastAsia"/>
          <w:sz w:val="28"/>
          <w:szCs w:val="28"/>
        </w:rPr>
        <w:t>主要配置：</w:t>
      </w:r>
    </w:p>
    <w:p w14:paraId="44CC5546" w14:textId="77777777" w:rsidR="003C040F" w:rsidRPr="00B23DE7" w:rsidRDefault="003C040F" w:rsidP="003C040F">
      <w:pPr>
        <w:rPr>
          <w:rFonts w:ascii="微软雅黑" w:eastAsia="微软雅黑" w:hAnsi="微软雅黑"/>
          <w:sz w:val="28"/>
          <w:szCs w:val="28"/>
        </w:rPr>
      </w:pPr>
      <w:r w:rsidRPr="00B23DE7">
        <w:rPr>
          <w:rFonts w:ascii="微软雅黑" w:eastAsia="微软雅黑" w:hAnsi="微软雅黑"/>
          <w:sz w:val="28"/>
          <w:szCs w:val="28"/>
        </w:rPr>
        <w:t>1、石英玻璃管；</w:t>
      </w:r>
    </w:p>
    <w:p w14:paraId="6DF034AB" w14:textId="77777777" w:rsidR="003C040F" w:rsidRPr="00B23DE7" w:rsidRDefault="003C040F" w:rsidP="003C040F">
      <w:pPr>
        <w:rPr>
          <w:rFonts w:ascii="微软雅黑" w:eastAsia="微软雅黑" w:hAnsi="微软雅黑"/>
          <w:sz w:val="28"/>
          <w:szCs w:val="28"/>
        </w:rPr>
      </w:pPr>
      <w:r w:rsidRPr="00B23DE7">
        <w:rPr>
          <w:rFonts w:ascii="微软雅黑" w:eastAsia="微软雅黑" w:hAnsi="微软雅黑"/>
          <w:sz w:val="28"/>
          <w:szCs w:val="28"/>
        </w:rPr>
        <w:t>2、燃气-空气混合器；</w:t>
      </w:r>
    </w:p>
    <w:p w14:paraId="332186F2" w14:textId="77777777" w:rsidR="003C040F" w:rsidRPr="00B23DE7" w:rsidRDefault="003C040F" w:rsidP="003C040F">
      <w:pPr>
        <w:rPr>
          <w:rFonts w:ascii="微软雅黑" w:eastAsia="微软雅黑" w:hAnsi="微软雅黑"/>
          <w:sz w:val="28"/>
          <w:szCs w:val="28"/>
        </w:rPr>
      </w:pPr>
      <w:r w:rsidRPr="00B23DE7">
        <w:rPr>
          <w:rFonts w:ascii="微软雅黑" w:eastAsia="微软雅黑" w:hAnsi="微软雅黑"/>
          <w:sz w:val="28"/>
          <w:szCs w:val="28"/>
        </w:rPr>
        <w:t>3、气泵等。</w:t>
      </w:r>
    </w:p>
    <w:p w14:paraId="2842D173" w14:textId="77777777" w:rsidR="003C040F" w:rsidRPr="00B23DE7" w:rsidRDefault="003C040F" w:rsidP="003C040F">
      <w:pPr>
        <w:rPr>
          <w:rFonts w:ascii="微软雅黑" w:eastAsia="微软雅黑" w:hAnsi="微软雅黑"/>
          <w:sz w:val="28"/>
          <w:szCs w:val="28"/>
        </w:rPr>
      </w:pPr>
      <w:r w:rsidRPr="00B23DE7">
        <w:rPr>
          <w:rFonts w:ascii="微软雅黑" w:eastAsia="微软雅黑" w:hAnsi="微软雅黑" w:hint="eastAsia"/>
          <w:sz w:val="28"/>
          <w:szCs w:val="28"/>
        </w:rPr>
        <w:t>（不包括</w:t>
      </w:r>
      <w:proofErr w:type="gramStart"/>
      <w:r w:rsidRPr="00B23DE7">
        <w:rPr>
          <w:rFonts w:ascii="微软雅黑" w:eastAsia="微软雅黑" w:hAnsi="微软雅黑" w:hint="eastAsia"/>
          <w:sz w:val="28"/>
          <w:szCs w:val="28"/>
        </w:rPr>
        <w:t>垂高计</w:t>
      </w:r>
      <w:proofErr w:type="gramEnd"/>
      <w:r w:rsidRPr="00B23DE7">
        <w:rPr>
          <w:rFonts w:ascii="微软雅黑" w:eastAsia="微软雅黑" w:hAnsi="微软雅黑" w:hint="eastAsia"/>
          <w:sz w:val="28"/>
          <w:szCs w:val="28"/>
        </w:rPr>
        <w:t>）</w:t>
      </w:r>
    </w:p>
    <w:p w14:paraId="2669F2F5" w14:textId="77777777" w:rsidR="003C040F" w:rsidRPr="00B23DE7" w:rsidRDefault="003C040F" w:rsidP="003C040F">
      <w:pPr>
        <w:rPr>
          <w:rFonts w:ascii="微软雅黑" w:eastAsia="微软雅黑" w:hAnsi="微软雅黑"/>
          <w:sz w:val="28"/>
          <w:szCs w:val="28"/>
        </w:rPr>
      </w:pPr>
      <w:r w:rsidRPr="00B23DE7">
        <w:rPr>
          <w:rFonts w:ascii="微软雅黑" w:eastAsia="微软雅黑" w:hAnsi="微软雅黑"/>
          <w:sz w:val="28"/>
          <w:szCs w:val="28"/>
        </w:rPr>
        <w:lastRenderedPageBreak/>
        <w:t>4、可移动式实验台</w:t>
      </w:r>
    </w:p>
    <w:p w14:paraId="499A7419" w14:textId="77777777" w:rsidR="003C040F" w:rsidRPr="00B23DE7" w:rsidRDefault="003C040F" w:rsidP="003C040F">
      <w:pPr>
        <w:rPr>
          <w:rFonts w:ascii="微软雅黑" w:eastAsia="微软雅黑" w:hAnsi="微软雅黑"/>
          <w:sz w:val="28"/>
          <w:szCs w:val="28"/>
        </w:rPr>
      </w:pPr>
      <w:r w:rsidRPr="00B23DE7">
        <w:rPr>
          <w:rFonts w:ascii="微软雅黑" w:eastAsia="微软雅黑" w:hAnsi="微软雅黑"/>
          <w:sz w:val="28"/>
          <w:szCs w:val="28"/>
        </w:rPr>
        <w:t>5、外形尺寸：3000×400×1600</w:t>
      </w:r>
    </w:p>
    <w:p w14:paraId="00DB37A6" w14:textId="4564CDC8" w:rsidR="003C040F" w:rsidRPr="00B23DE7" w:rsidRDefault="003C040F" w:rsidP="003C040F">
      <w:pPr>
        <w:rPr>
          <w:rFonts w:ascii="微软雅黑" w:eastAsia="微软雅黑" w:hAnsi="微软雅黑"/>
          <w:sz w:val="28"/>
          <w:szCs w:val="28"/>
        </w:rPr>
      </w:pPr>
      <w:r w:rsidRPr="00B23DE7">
        <w:rPr>
          <w:rFonts w:ascii="微软雅黑" w:eastAsia="微软雅黑" w:hAnsi="微软雅黑" w:hint="eastAsia"/>
          <w:sz w:val="28"/>
          <w:szCs w:val="28"/>
        </w:rPr>
        <w:t>（气源钢瓶自配）</w:t>
      </w:r>
    </w:p>
    <w:sectPr w:rsidR="003C040F" w:rsidRPr="00B23D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A784" w14:textId="77777777" w:rsidR="00710B0A" w:rsidRDefault="00710B0A" w:rsidP="003C040F">
      <w:r>
        <w:separator/>
      </w:r>
    </w:p>
  </w:endnote>
  <w:endnote w:type="continuationSeparator" w:id="0">
    <w:p w14:paraId="3EF8AED4" w14:textId="77777777" w:rsidR="00710B0A" w:rsidRDefault="00710B0A" w:rsidP="003C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A6D9" w14:textId="77777777" w:rsidR="00710B0A" w:rsidRDefault="00710B0A" w:rsidP="003C040F">
      <w:r>
        <w:separator/>
      </w:r>
    </w:p>
  </w:footnote>
  <w:footnote w:type="continuationSeparator" w:id="0">
    <w:p w14:paraId="40FD365B" w14:textId="77777777" w:rsidR="00710B0A" w:rsidRDefault="00710B0A" w:rsidP="003C0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4E"/>
    <w:rsid w:val="002D080F"/>
    <w:rsid w:val="003C040F"/>
    <w:rsid w:val="00710B0A"/>
    <w:rsid w:val="00716E4E"/>
    <w:rsid w:val="00B23DE7"/>
    <w:rsid w:val="00B643DA"/>
    <w:rsid w:val="00D24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5E343"/>
  <w15:chartTrackingRefBased/>
  <w15:docId w15:val="{3F154932-F5A6-4973-9CDC-C3746657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4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040F"/>
    <w:rPr>
      <w:sz w:val="18"/>
      <w:szCs w:val="18"/>
    </w:rPr>
  </w:style>
  <w:style w:type="paragraph" w:styleId="a5">
    <w:name w:val="footer"/>
    <w:basedOn w:val="a"/>
    <w:link w:val="a6"/>
    <w:uiPriority w:val="99"/>
    <w:unhideWhenUsed/>
    <w:rsid w:val="003C040F"/>
    <w:pPr>
      <w:tabs>
        <w:tab w:val="center" w:pos="4153"/>
        <w:tab w:val="right" w:pos="8306"/>
      </w:tabs>
      <w:snapToGrid w:val="0"/>
      <w:jc w:val="left"/>
    </w:pPr>
    <w:rPr>
      <w:sz w:val="18"/>
      <w:szCs w:val="18"/>
    </w:rPr>
  </w:style>
  <w:style w:type="character" w:customStyle="1" w:styleId="a6">
    <w:name w:val="页脚 字符"/>
    <w:basedOn w:val="a0"/>
    <w:link w:val="a5"/>
    <w:uiPriority w:val="99"/>
    <w:rsid w:val="003C040F"/>
    <w:rPr>
      <w:sz w:val="18"/>
      <w:szCs w:val="18"/>
    </w:rPr>
  </w:style>
  <w:style w:type="character" w:styleId="a7">
    <w:name w:val="Strong"/>
    <w:basedOn w:val="a0"/>
    <w:uiPriority w:val="22"/>
    <w:qFormat/>
    <w:rsid w:val="003C040F"/>
    <w:rPr>
      <w:b/>
      <w:bCs/>
    </w:rPr>
  </w:style>
  <w:style w:type="character" w:styleId="a8">
    <w:name w:val="Hyperlink"/>
    <w:basedOn w:val="a0"/>
    <w:uiPriority w:val="99"/>
    <w:unhideWhenUsed/>
    <w:rsid w:val="003C040F"/>
    <w:rPr>
      <w:color w:val="0000FF"/>
      <w:u w:val="single"/>
    </w:rPr>
  </w:style>
  <w:style w:type="character" w:styleId="a9">
    <w:name w:val="Unresolved Mention"/>
    <w:basedOn w:val="a0"/>
    <w:uiPriority w:val="99"/>
    <w:semiHidden/>
    <w:unhideWhenUsed/>
    <w:rsid w:val="00B23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av.com.cn/1/388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Words>
  <Characters>211</Characters>
  <DocSecurity>0</DocSecurity>
  <Lines>1</Lines>
  <Paragraphs>1</Paragraphs>
  <ScaleCrop>false</ScaleCrop>
  <Company>上海顶邦教育设备制造有限公司;</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2019-06-17T04:23:00Z</dcterms:created>
  <dcterms:modified xsi:type="dcterms:W3CDTF">2021-04-29T14:10:00Z</dcterms:modified>
</cp:coreProperties>
</file>