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5E9A" w14:textId="7E94FC76" w:rsidR="006B7C01" w:rsidRPr="00F16712" w:rsidRDefault="006B7C01" w:rsidP="006B7C01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F16712">
        <w:rPr>
          <w:rFonts w:ascii="微软雅黑" w:eastAsia="微软雅黑" w:hAnsi="微软雅黑"/>
          <w:b/>
          <w:bCs/>
          <w:sz w:val="28"/>
          <w:szCs w:val="28"/>
        </w:rPr>
        <w:t xml:space="preserve">DB-GT106 </w:t>
      </w:r>
      <w:hyperlink r:id="rId7" w:history="1">
        <w:r w:rsidRPr="00F16712">
          <w:rPr>
            <w:rStyle w:val="a7"/>
            <w:rFonts w:ascii="微软雅黑" w:eastAsia="微软雅黑" w:hAnsi="微软雅黑"/>
            <w:b/>
            <w:bCs/>
            <w:color w:val="auto"/>
            <w:sz w:val="28"/>
            <w:szCs w:val="28"/>
            <w:u w:val="none"/>
          </w:rPr>
          <w:t>脉冲澄清池装置</w:t>
        </w:r>
      </w:hyperlink>
    </w:p>
    <w:p w14:paraId="7AB8FF92" w14:textId="056AF183" w:rsidR="001F3E2B" w:rsidRPr="006B7C01" w:rsidRDefault="001F3E2B" w:rsidP="006B7C01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765D86" wp14:editId="3FB0E4F7">
            <wp:extent cx="5274310" cy="60420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8B4BE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一、实验目的：</w:t>
      </w:r>
    </w:p>
    <w:p w14:paraId="3FAAA27B" w14:textId="673D5100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/>
          <w:sz w:val="28"/>
          <w:szCs w:val="28"/>
        </w:rPr>
        <w:t>脉冲澄清池装置</w:t>
      </w:r>
      <w:r w:rsidRPr="006B7C01">
        <w:rPr>
          <w:rFonts w:ascii="微软雅黑" w:eastAsia="微软雅黑" w:hAnsi="微软雅黑" w:hint="eastAsia"/>
          <w:sz w:val="28"/>
          <w:szCs w:val="28"/>
        </w:rPr>
        <w:t>实验的目的是配合给水处理所讲授的相关内容，直观了解构筑物型式、内部构造、水在构筑物内的流动轨迹，加深对所学内容的理解。</w:t>
      </w:r>
    </w:p>
    <w:p w14:paraId="10283123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通过本实验，希望达到下述目的：</w:t>
      </w:r>
    </w:p>
    <w:p w14:paraId="70F1C721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lastRenderedPageBreak/>
        <w:t>了解脉冲澄清池的构造、工作原理及运行操作方法；</w:t>
      </w:r>
    </w:p>
    <w:p w14:paraId="06713EC5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proofErr w:type="gramStart"/>
      <w:r w:rsidRPr="006B7C01">
        <w:rPr>
          <w:rFonts w:ascii="微软雅黑" w:eastAsia="微软雅黑" w:hAnsi="微软雅黑" w:hint="eastAsia"/>
          <w:sz w:val="28"/>
          <w:szCs w:val="28"/>
        </w:rPr>
        <w:t>观察矾花形成</w:t>
      </w:r>
      <w:proofErr w:type="gramEnd"/>
      <w:r w:rsidRPr="006B7C01">
        <w:rPr>
          <w:rFonts w:ascii="微软雅黑" w:eastAsia="微软雅黑" w:hAnsi="微软雅黑" w:hint="eastAsia"/>
          <w:sz w:val="28"/>
          <w:szCs w:val="28"/>
        </w:rPr>
        <w:t>悬浮层的作用和特点。</w:t>
      </w:r>
    </w:p>
    <w:p w14:paraId="4181AFC2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二、实验原理：</w:t>
      </w:r>
    </w:p>
    <w:p w14:paraId="2740750D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澄清池是利用悬浮层中</w:t>
      </w:r>
      <w:proofErr w:type="gramStart"/>
      <w:r w:rsidRPr="006B7C01">
        <w:rPr>
          <w:rFonts w:ascii="微软雅黑" w:eastAsia="微软雅黑" w:hAnsi="微软雅黑" w:hint="eastAsia"/>
          <w:sz w:val="28"/>
          <w:szCs w:val="28"/>
        </w:rPr>
        <w:t>的矾花对</w:t>
      </w:r>
      <w:proofErr w:type="gramEnd"/>
      <w:r w:rsidRPr="006B7C01">
        <w:rPr>
          <w:rFonts w:ascii="微软雅黑" w:eastAsia="微软雅黑" w:hAnsi="微软雅黑" w:hint="eastAsia"/>
          <w:sz w:val="28"/>
          <w:szCs w:val="28"/>
        </w:rPr>
        <w:t>原水中悬浮颗粒的接触絮凝作用来去除原水中的悬浮杂质。接触絮凝的机理包括：</w:t>
      </w:r>
      <w:proofErr w:type="gramStart"/>
      <w:r w:rsidRPr="006B7C01">
        <w:rPr>
          <w:rFonts w:ascii="微软雅黑" w:eastAsia="微软雅黑" w:hAnsi="微软雅黑" w:hint="eastAsia"/>
          <w:sz w:val="28"/>
          <w:szCs w:val="28"/>
        </w:rPr>
        <w:t>矾花与</w:t>
      </w:r>
      <w:proofErr w:type="gramEnd"/>
      <w:r w:rsidRPr="006B7C01">
        <w:rPr>
          <w:rFonts w:ascii="微软雅黑" w:eastAsia="微软雅黑" w:hAnsi="微软雅黑" w:hint="eastAsia"/>
          <w:sz w:val="28"/>
          <w:szCs w:val="28"/>
        </w:rPr>
        <w:t>矾花、</w:t>
      </w:r>
      <w:proofErr w:type="gramStart"/>
      <w:r w:rsidRPr="006B7C01">
        <w:rPr>
          <w:rFonts w:ascii="微软雅黑" w:eastAsia="微软雅黑" w:hAnsi="微软雅黑" w:hint="eastAsia"/>
          <w:sz w:val="28"/>
          <w:szCs w:val="28"/>
        </w:rPr>
        <w:t>矾花与</w:t>
      </w:r>
      <w:proofErr w:type="gramEnd"/>
      <w:r w:rsidRPr="006B7C01">
        <w:rPr>
          <w:rFonts w:ascii="微软雅黑" w:eastAsia="微软雅黑" w:hAnsi="微软雅黑" w:hint="eastAsia"/>
          <w:sz w:val="28"/>
          <w:szCs w:val="28"/>
        </w:rPr>
        <w:t>原水中悬浮杂质之间的碰撞在作用，</w:t>
      </w:r>
      <w:proofErr w:type="gramStart"/>
      <w:r w:rsidRPr="006B7C01">
        <w:rPr>
          <w:rFonts w:ascii="微软雅黑" w:eastAsia="微软雅黑" w:hAnsi="微软雅黑" w:hint="eastAsia"/>
          <w:sz w:val="28"/>
          <w:szCs w:val="28"/>
        </w:rPr>
        <w:t>矾花对</w:t>
      </w:r>
      <w:proofErr w:type="gramEnd"/>
      <w:r w:rsidRPr="006B7C01">
        <w:rPr>
          <w:rFonts w:ascii="微软雅黑" w:eastAsia="微软雅黑" w:hAnsi="微软雅黑" w:hint="eastAsia"/>
          <w:sz w:val="28"/>
          <w:szCs w:val="28"/>
        </w:rPr>
        <w:t>原水悬浮颗粒及其他杂质的吸附作用等。在完成接触絮凝作用后，矾花（即增加的矾花）从原水中分离出来进入</w:t>
      </w:r>
      <w:proofErr w:type="gramStart"/>
      <w:r w:rsidRPr="006B7C01">
        <w:rPr>
          <w:rFonts w:ascii="微软雅黑" w:eastAsia="微软雅黑" w:hAnsi="微软雅黑" w:hint="eastAsia"/>
          <w:sz w:val="28"/>
          <w:szCs w:val="28"/>
        </w:rPr>
        <w:t>集泥斗</w:t>
      </w:r>
      <w:proofErr w:type="gramEnd"/>
      <w:r w:rsidRPr="006B7C01">
        <w:rPr>
          <w:rFonts w:ascii="微软雅黑" w:eastAsia="微软雅黑" w:hAnsi="微软雅黑" w:hint="eastAsia"/>
          <w:sz w:val="28"/>
          <w:szCs w:val="28"/>
        </w:rPr>
        <w:t>，使原水得到澄清。澄清池中分别完成反应和沉淀分离过程。</w:t>
      </w:r>
    </w:p>
    <w:p w14:paraId="6ED749D0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三、主要技术指标及参数：：</w:t>
      </w:r>
    </w:p>
    <w:p w14:paraId="5437A573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1、环境温度：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/>
            <w:sz w:val="28"/>
            <w:szCs w:val="28"/>
          </w:rPr>
          <w:t>5</w:t>
        </w:r>
        <w:r w:rsidRPr="006B7C01">
          <w:rPr>
            <w:rFonts w:ascii="微软雅黑" w:eastAsia="微软雅黑" w:hAnsi="微软雅黑" w:hint="eastAsia"/>
            <w:sz w:val="28"/>
            <w:szCs w:val="28"/>
          </w:rPr>
          <w:t>℃</w:t>
        </w:r>
      </w:smartTag>
      <w:r w:rsidRPr="006B7C01">
        <w:rPr>
          <w:rFonts w:ascii="微软雅黑" w:eastAsia="微软雅黑" w:hAnsi="微软雅黑" w:hint="eastAsia"/>
          <w:sz w:val="28"/>
          <w:szCs w:val="28"/>
        </w:rPr>
        <w:t>～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/>
            <w:sz w:val="28"/>
            <w:szCs w:val="28"/>
          </w:rPr>
          <w:t>40</w:t>
        </w:r>
        <w:r w:rsidRPr="006B7C01">
          <w:rPr>
            <w:rFonts w:ascii="微软雅黑" w:eastAsia="微软雅黑" w:hAnsi="微软雅黑" w:hint="eastAsia"/>
            <w:sz w:val="28"/>
            <w:szCs w:val="28"/>
          </w:rPr>
          <w:t>℃</w:t>
        </w:r>
      </w:smartTag>
    </w:p>
    <w:p w14:paraId="75D31466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2、处理水量：</w:t>
      </w:r>
      <w:smartTag w:uri="urn:schemas-microsoft-com:office:smarttags" w:element="chmetcnv">
        <w:smartTagPr>
          <w:attr w:name="UnitName" w:val="m3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 w:hint="eastAsia"/>
            <w:sz w:val="28"/>
            <w:szCs w:val="28"/>
          </w:rPr>
          <w:t>0.5m3</w:t>
        </w:r>
      </w:smartTag>
      <w:r w:rsidRPr="006B7C01">
        <w:rPr>
          <w:rFonts w:ascii="微软雅黑" w:eastAsia="微软雅黑" w:hAnsi="微软雅黑" w:hint="eastAsia"/>
          <w:sz w:val="28"/>
          <w:szCs w:val="28"/>
        </w:rPr>
        <w:t>/h</w:t>
      </w:r>
    </w:p>
    <w:p w14:paraId="3DC29546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3、上升流速：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 w:hint="eastAsia"/>
            <w:sz w:val="28"/>
            <w:szCs w:val="28"/>
          </w:rPr>
          <w:t>1mm</w:t>
        </w:r>
      </w:smartTag>
      <w:r w:rsidRPr="006B7C01">
        <w:rPr>
          <w:rFonts w:ascii="微软雅黑" w:eastAsia="微软雅黑" w:hAnsi="微软雅黑" w:hint="eastAsia"/>
          <w:sz w:val="28"/>
          <w:szCs w:val="28"/>
        </w:rPr>
        <w:t>/秒</w:t>
      </w:r>
    </w:p>
    <w:p w14:paraId="6CE580F5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4、脉冲周期：其中进水时间30～36秒，放水时间10～12秒。（这是生产周期，装置周期稍快）。</w:t>
      </w:r>
    </w:p>
    <w:p w14:paraId="3B9131BD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5、</w:t>
      </w:r>
      <w:r w:rsidRPr="006B7C01">
        <w:rPr>
          <w:rFonts w:ascii="微软雅黑" w:eastAsia="微软雅黑" w:hAnsi="微软雅黑"/>
          <w:sz w:val="28"/>
          <w:szCs w:val="28"/>
        </w:rPr>
        <w:t>有机玻璃澄清池尺寸：Ø</w:t>
      </w:r>
      <w:smartTag w:uri="urn:schemas-microsoft-com:office:smarttags" w:element="chmetcnv">
        <w:smartTagPr>
          <w:attr w:name="UnitName" w:val="mm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 w:hint="eastAsia"/>
            <w:sz w:val="28"/>
            <w:szCs w:val="28"/>
          </w:rPr>
          <w:t>4</w:t>
        </w:r>
        <w:r w:rsidRPr="006B7C01">
          <w:rPr>
            <w:rFonts w:ascii="微软雅黑" w:eastAsia="微软雅黑" w:hAnsi="微软雅黑"/>
            <w:sz w:val="28"/>
            <w:szCs w:val="28"/>
          </w:rPr>
          <w:t>00mm</w:t>
        </w:r>
      </w:smartTag>
      <w:r w:rsidRPr="006B7C01">
        <w:rPr>
          <w:rFonts w:ascii="微软雅黑" w:eastAsia="微软雅黑" w:hAnsi="微软雅黑"/>
          <w:sz w:val="28"/>
          <w:szCs w:val="28"/>
        </w:rPr>
        <w:t>×</w:t>
      </w:r>
      <w:smartTag w:uri="urn:schemas-microsoft-com:office:smarttags" w:element="chmetcnv">
        <w:smartTagPr>
          <w:attr w:name="UnitName" w:val="mm"/>
          <w:attr w:name="SourceValue" w:val="650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 w:hint="eastAsia"/>
            <w:sz w:val="28"/>
            <w:szCs w:val="28"/>
          </w:rPr>
          <w:t>65</w:t>
        </w:r>
        <w:r w:rsidRPr="006B7C01">
          <w:rPr>
            <w:rFonts w:ascii="微软雅黑" w:eastAsia="微软雅黑" w:hAnsi="微软雅黑"/>
            <w:sz w:val="28"/>
            <w:szCs w:val="28"/>
          </w:rPr>
          <w:t>0mm</w:t>
        </w:r>
      </w:smartTag>
      <w:r w:rsidRPr="006B7C01">
        <w:rPr>
          <w:rFonts w:ascii="微软雅黑" w:eastAsia="微软雅黑" w:hAnsi="微软雅黑"/>
          <w:sz w:val="28"/>
          <w:szCs w:val="28"/>
        </w:rPr>
        <w:t>、</w:t>
      </w:r>
    </w:p>
    <w:p w14:paraId="4C2DE784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6、</w:t>
      </w:r>
      <w:r w:rsidRPr="006B7C01">
        <w:rPr>
          <w:rFonts w:ascii="微软雅黑" w:eastAsia="微软雅黑" w:hAnsi="微软雅黑"/>
          <w:sz w:val="28"/>
          <w:szCs w:val="28"/>
        </w:rPr>
        <w:t>装置外形尺寸：</w:t>
      </w:r>
      <w:smartTag w:uri="urn:schemas-microsoft-com:office:smarttags" w:element="chmetcnv">
        <w:smartTagPr>
          <w:attr w:name="UnitName" w:val="mm"/>
          <w:attr w:name="SourceValue" w:val="900"/>
          <w:attr w:name="HasSpace" w:val="Tru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/>
            <w:sz w:val="28"/>
            <w:szCs w:val="28"/>
          </w:rPr>
          <w:t>900 mm</w:t>
        </w:r>
      </w:smartTag>
      <w:r w:rsidRPr="006B7C01">
        <w:rPr>
          <w:rFonts w:ascii="微软雅黑" w:eastAsia="微软雅黑" w:hAnsi="微软雅黑"/>
          <w:sz w:val="28"/>
          <w:szCs w:val="28"/>
        </w:rPr>
        <w:t>×</w:t>
      </w:r>
      <w:smartTag w:uri="urn:schemas-microsoft-com:office:smarttags" w:element="chmetcnv">
        <w:smartTagPr>
          <w:attr w:name="UnitName" w:val="mm"/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 w:hint="eastAsia"/>
            <w:sz w:val="28"/>
            <w:szCs w:val="28"/>
          </w:rPr>
          <w:t>5</w:t>
        </w:r>
        <w:r w:rsidRPr="006B7C01">
          <w:rPr>
            <w:rFonts w:ascii="微软雅黑" w:eastAsia="微软雅黑" w:hAnsi="微软雅黑"/>
            <w:sz w:val="28"/>
            <w:szCs w:val="28"/>
          </w:rPr>
          <w:t>00 mm</w:t>
        </w:r>
      </w:smartTag>
      <w:r w:rsidRPr="006B7C01">
        <w:rPr>
          <w:rFonts w:ascii="微软雅黑" w:eastAsia="微软雅黑" w:hAnsi="微软雅黑"/>
          <w:sz w:val="28"/>
          <w:szCs w:val="28"/>
        </w:rPr>
        <w:t>×</w:t>
      </w:r>
      <w:smartTag w:uri="urn:schemas-microsoft-com:office:smarttags" w:element="chmetcnv">
        <w:smartTagPr>
          <w:attr w:name="UnitName" w:val="mm"/>
          <w:attr w:name="SourceValue" w:val="2000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 w:hint="eastAsia"/>
            <w:sz w:val="28"/>
            <w:szCs w:val="28"/>
          </w:rPr>
          <w:t>20</w:t>
        </w:r>
        <w:r w:rsidRPr="006B7C01">
          <w:rPr>
            <w:rFonts w:ascii="微软雅黑" w:eastAsia="微软雅黑" w:hAnsi="微软雅黑"/>
            <w:sz w:val="28"/>
            <w:szCs w:val="28"/>
          </w:rPr>
          <w:t>00mm</w:t>
        </w:r>
      </w:smartTag>
      <w:r w:rsidRPr="006B7C01">
        <w:rPr>
          <w:rFonts w:ascii="微软雅黑" w:eastAsia="微软雅黑" w:hAnsi="微软雅黑"/>
          <w:sz w:val="28"/>
          <w:szCs w:val="28"/>
        </w:rPr>
        <w:t>、</w:t>
      </w:r>
    </w:p>
    <w:p w14:paraId="18179436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7、</w:t>
      </w:r>
      <w:r w:rsidRPr="006B7C01">
        <w:rPr>
          <w:rFonts w:ascii="微软雅黑" w:eastAsia="微软雅黑" w:hAnsi="微软雅黑"/>
          <w:sz w:val="28"/>
          <w:szCs w:val="28"/>
        </w:rPr>
        <w:t>工作电源：AC220V±10%、50Hz，单相三线制，功率</w:t>
      </w:r>
      <w:r w:rsidRPr="006B7C01">
        <w:rPr>
          <w:rFonts w:ascii="微软雅黑" w:eastAsia="微软雅黑" w:hAnsi="微软雅黑" w:hint="eastAsia"/>
          <w:sz w:val="28"/>
          <w:szCs w:val="28"/>
        </w:rPr>
        <w:t>5</w:t>
      </w:r>
      <w:r w:rsidRPr="006B7C01">
        <w:rPr>
          <w:rFonts w:ascii="微软雅黑" w:eastAsia="微软雅黑" w:hAnsi="微软雅黑"/>
          <w:sz w:val="28"/>
          <w:szCs w:val="28"/>
        </w:rPr>
        <w:t>00W，安全保护：具有接地保护、漏电保护、过流保护；</w:t>
      </w:r>
    </w:p>
    <w:p w14:paraId="5B9DAC9D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四、</w:t>
      </w:r>
      <w:r w:rsidRPr="006B7C01">
        <w:rPr>
          <w:rFonts w:ascii="微软雅黑" w:eastAsia="微软雅黑" w:hAnsi="微软雅黑"/>
          <w:sz w:val="28"/>
          <w:szCs w:val="28"/>
        </w:rPr>
        <w:t xml:space="preserve">主要配置： </w:t>
      </w:r>
    </w:p>
    <w:p w14:paraId="4AF3EA70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1、</w:t>
      </w:r>
      <w:r w:rsidRPr="006B7C01">
        <w:rPr>
          <w:rFonts w:ascii="微软雅黑" w:eastAsia="微软雅黑" w:hAnsi="微软雅黑"/>
          <w:sz w:val="28"/>
          <w:szCs w:val="28"/>
        </w:rPr>
        <w:t>脉冲澄清池1套:透明有机玻璃材质、厚度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/>
            <w:sz w:val="28"/>
            <w:szCs w:val="28"/>
          </w:rPr>
          <w:t>10mm</w:t>
        </w:r>
      </w:smartTag>
      <w:r w:rsidRPr="006B7C01">
        <w:rPr>
          <w:rFonts w:ascii="微软雅黑" w:eastAsia="微软雅黑" w:hAnsi="微软雅黑"/>
          <w:sz w:val="28"/>
          <w:szCs w:val="28"/>
        </w:rPr>
        <w:t>，含脉冲发生器、混合反应系统（包括配水渠、配水管和稳流板），澄清系统（包括</w:t>
      </w:r>
      <w:r w:rsidRPr="006B7C01">
        <w:rPr>
          <w:rFonts w:ascii="微软雅黑" w:eastAsia="微软雅黑" w:hAnsi="微软雅黑"/>
          <w:sz w:val="28"/>
          <w:szCs w:val="28"/>
        </w:rPr>
        <w:lastRenderedPageBreak/>
        <w:t>悬浮层、清水层、污泥浓缩层、集水堰）；、</w:t>
      </w:r>
    </w:p>
    <w:p w14:paraId="0A7597A4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/>
          <w:sz w:val="28"/>
          <w:szCs w:val="28"/>
        </w:rPr>
        <w:t>2、脉冲布水管1套、脉冲三角板折板1套、排泥计2只、排泥管1套、清水出水管1套、出水集水槽1套；、</w:t>
      </w:r>
    </w:p>
    <w:p w14:paraId="5C4736F5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3、</w:t>
      </w:r>
      <w:r w:rsidRPr="006B7C01">
        <w:rPr>
          <w:rFonts w:ascii="微软雅黑" w:eastAsia="微软雅黑" w:hAnsi="微软雅黑"/>
          <w:sz w:val="28"/>
          <w:szCs w:val="28"/>
        </w:rPr>
        <w:t>防腐蚀</w:t>
      </w:r>
      <w:r w:rsidRPr="006B7C01">
        <w:rPr>
          <w:rFonts w:ascii="微软雅黑" w:eastAsia="微软雅黑" w:hAnsi="微软雅黑" w:hint="eastAsia"/>
          <w:sz w:val="28"/>
          <w:szCs w:val="28"/>
        </w:rPr>
        <w:t>进</w:t>
      </w:r>
      <w:r w:rsidRPr="006B7C01">
        <w:rPr>
          <w:rFonts w:ascii="微软雅黑" w:eastAsia="微软雅黑" w:hAnsi="微软雅黑"/>
          <w:sz w:val="28"/>
          <w:szCs w:val="28"/>
        </w:rPr>
        <w:t>水泵1台</w:t>
      </w:r>
      <w:r w:rsidRPr="006B7C01">
        <w:rPr>
          <w:rFonts w:ascii="微软雅黑" w:eastAsia="微软雅黑" w:hAnsi="微软雅黑" w:hint="eastAsia"/>
          <w:sz w:val="28"/>
          <w:szCs w:val="28"/>
        </w:rPr>
        <w:t>：</w:t>
      </w:r>
      <w:r w:rsidRPr="006B7C01">
        <w:rPr>
          <w:rFonts w:ascii="微软雅黑" w:eastAsia="微软雅黑" w:hAnsi="微软雅黑"/>
          <w:sz w:val="28"/>
          <w:szCs w:val="28"/>
        </w:rPr>
        <w:t>流量</w:t>
      </w:r>
      <w:r w:rsidRPr="006B7C01">
        <w:rPr>
          <w:rFonts w:ascii="微软雅黑" w:eastAsia="微软雅黑" w:hAnsi="微软雅黑" w:hint="eastAsia"/>
          <w:sz w:val="28"/>
          <w:szCs w:val="28"/>
        </w:rPr>
        <w:t>：27～32（L/min)</w:t>
      </w:r>
      <w:r w:rsidRPr="006B7C01">
        <w:rPr>
          <w:rFonts w:ascii="微软雅黑" w:eastAsia="微软雅黑" w:hAnsi="微软雅黑"/>
          <w:sz w:val="28"/>
          <w:szCs w:val="28"/>
        </w:rPr>
        <w:t>、</w:t>
      </w:r>
      <w:r w:rsidRPr="006B7C01">
        <w:rPr>
          <w:rFonts w:ascii="微软雅黑" w:eastAsia="微软雅黑" w:hAnsi="微软雅黑" w:hint="eastAsia"/>
          <w:sz w:val="28"/>
          <w:szCs w:val="28"/>
        </w:rPr>
        <w:t>扬程：3.1～4.3（m）</w:t>
      </w:r>
    </w:p>
    <w:p w14:paraId="331440AD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4、</w:t>
      </w:r>
      <w:r w:rsidRPr="006B7C01">
        <w:rPr>
          <w:rFonts w:ascii="微软雅黑" w:eastAsia="微软雅黑" w:hAnsi="微软雅黑"/>
          <w:sz w:val="28"/>
          <w:szCs w:val="28"/>
        </w:rPr>
        <w:t>原水箱和清水箱：白色PP板、厚度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/>
            <w:sz w:val="28"/>
            <w:szCs w:val="28"/>
          </w:rPr>
          <w:t>10mm</w:t>
        </w:r>
      </w:smartTag>
      <w:r w:rsidRPr="006B7C01">
        <w:rPr>
          <w:rFonts w:ascii="微软雅黑" w:eastAsia="微软雅黑" w:hAnsi="微软雅黑"/>
          <w:sz w:val="28"/>
          <w:szCs w:val="28"/>
        </w:rPr>
        <w:t>，底板上安装有放空阀，方便将水排净。</w:t>
      </w:r>
    </w:p>
    <w:p w14:paraId="2B02075D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5、</w:t>
      </w:r>
      <w:r w:rsidRPr="006B7C01">
        <w:rPr>
          <w:rFonts w:ascii="微软雅黑" w:eastAsia="微软雅黑" w:hAnsi="微软雅黑"/>
          <w:sz w:val="28"/>
          <w:szCs w:val="28"/>
        </w:rPr>
        <w:t>流量测量与调节：转子流量计，污水流量1个（量程</w:t>
      </w:r>
      <w:r w:rsidRPr="006B7C01">
        <w:rPr>
          <w:rFonts w:ascii="微软雅黑" w:eastAsia="微软雅黑" w:hAnsi="微软雅黑" w:hint="eastAsia"/>
          <w:sz w:val="28"/>
          <w:szCs w:val="28"/>
        </w:rPr>
        <w:t>10</w:t>
      </w:r>
      <w:r w:rsidRPr="006B7C01">
        <w:rPr>
          <w:rFonts w:ascii="微软雅黑" w:eastAsia="微软雅黑" w:hAnsi="微软雅黑"/>
          <w:sz w:val="28"/>
          <w:szCs w:val="28"/>
        </w:rPr>
        <w:t>0</w:t>
      </w:r>
      <w:smartTag w:uri="urn:schemas-microsoft-com:office:smarttags" w:element="chmetcnv">
        <w:smartTagPr>
          <w:attr w:name="UnitName" w:val="l"/>
          <w:attr w:name="SourceValue" w:val="1000"/>
          <w:attr w:name="HasSpace" w:val="False"/>
          <w:attr w:name="Negative" w:val="True"/>
          <w:attr w:name="NumberType" w:val="1"/>
          <w:attr w:name="TCSC" w:val="0"/>
        </w:smartTagPr>
        <w:r w:rsidRPr="006B7C01">
          <w:rPr>
            <w:rFonts w:ascii="微软雅黑" w:eastAsia="微软雅黑" w:hAnsi="微软雅黑"/>
            <w:sz w:val="28"/>
            <w:szCs w:val="28"/>
          </w:rPr>
          <w:t>-</w:t>
        </w:r>
        <w:r w:rsidRPr="006B7C01">
          <w:rPr>
            <w:rFonts w:ascii="微软雅黑" w:eastAsia="微软雅黑" w:hAnsi="微软雅黑" w:hint="eastAsia"/>
            <w:sz w:val="28"/>
            <w:szCs w:val="28"/>
          </w:rPr>
          <w:t>10</w:t>
        </w:r>
        <w:r w:rsidRPr="006B7C01">
          <w:rPr>
            <w:rFonts w:ascii="微软雅黑" w:eastAsia="微软雅黑" w:hAnsi="微软雅黑"/>
            <w:sz w:val="28"/>
            <w:szCs w:val="28"/>
          </w:rPr>
          <w:t>00L</w:t>
        </w:r>
      </w:smartTag>
      <w:r w:rsidRPr="006B7C01">
        <w:rPr>
          <w:rFonts w:ascii="微软雅黑" w:eastAsia="微软雅黑" w:hAnsi="微软雅黑"/>
          <w:sz w:val="28"/>
          <w:szCs w:val="28"/>
        </w:rPr>
        <w:t>/H）；</w:t>
      </w:r>
    </w:p>
    <w:p w14:paraId="07E13E73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6、</w:t>
      </w:r>
      <w:r w:rsidRPr="006B7C01">
        <w:rPr>
          <w:rFonts w:ascii="微软雅黑" w:eastAsia="微软雅黑" w:hAnsi="微软雅黑"/>
          <w:sz w:val="28"/>
          <w:szCs w:val="28"/>
        </w:rPr>
        <w:t>原</w:t>
      </w:r>
      <w:r w:rsidRPr="006B7C01">
        <w:rPr>
          <w:rFonts w:ascii="微软雅黑" w:eastAsia="微软雅黑" w:hAnsi="微软雅黑" w:hint="eastAsia"/>
          <w:sz w:val="28"/>
          <w:szCs w:val="28"/>
        </w:rPr>
        <w:t>水箱配</w:t>
      </w:r>
      <w:r w:rsidRPr="006B7C01">
        <w:rPr>
          <w:rFonts w:ascii="微软雅黑" w:eastAsia="微软雅黑" w:hAnsi="微软雅黑"/>
          <w:sz w:val="28"/>
          <w:szCs w:val="28"/>
        </w:rPr>
        <w:t>电机搅拌1台、</w:t>
      </w:r>
      <w:r w:rsidRPr="006B7C01">
        <w:rPr>
          <w:rFonts w:ascii="微软雅黑" w:eastAsia="微软雅黑" w:hAnsi="微软雅黑" w:hint="eastAsia"/>
          <w:sz w:val="28"/>
          <w:szCs w:val="28"/>
        </w:rPr>
        <w:t>304</w:t>
      </w:r>
      <w:r w:rsidRPr="006B7C01">
        <w:rPr>
          <w:rFonts w:ascii="微软雅黑" w:eastAsia="微软雅黑" w:hAnsi="微软雅黑"/>
          <w:sz w:val="28"/>
          <w:szCs w:val="28"/>
        </w:rPr>
        <w:t>不锈钢搅拌</w:t>
      </w:r>
      <w:proofErr w:type="gramStart"/>
      <w:r w:rsidRPr="006B7C01">
        <w:rPr>
          <w:rFonts w:ascii="微软雅黑" w:eastAsia="微软雅黑" w:hAnsi="微软雅黑"/>
          <w:sz w:val="28"/>
          <w:szCs w:val="28"/>
        </w:rPr>
        <w:t>桨</w:t>
      </w:r>
      <w:proofErr w:type="gramEnd"/>
      <w:r w:rsidRPr="006B7C01">
        <w:rPr>
          <w:rFonts w:ascii="微软雅黑" w:eastAsia="微软雅黑" w:hAnsi="微软雅黑"/>
          <w:sz w:val="28"/>
          <w:szCs w:val="28"/>
        </w:rPr>
        <w:t>1套；（功率25W、转速</w:t>
      </w:r>
      <w:r w:rsidRPr="006B7C01">
        <w:rPr>
          <w:rFonts w:ascii="微软雅黑" w:eastAsia="微软雅黑" w:hAnsi="微软雅黑" w:hint="eastAsia"/>
          <w:sz w:val="28"/>
          <w:szCs w:val="28"/>
        </w:rPr>
        <w:t>15</w:t>
      </w:r>
      <w:r w:rsidRPr="006B7C01">
        <w:rPr>
          <w:rFonts w:ascii="微软雅黑" w:eastAsia="微软雅黑" w:hAnsi="微软雅黑"/>
          <w:sz w:val="28"/>
          <w:szCs w:val="28"/>
        </w:rPr>
        <w:t>0rpm）、</w:t>
      </w:r>
    </w:p>
    <w:p w14:paraId="67257613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7、</w:t>
      </w:r>
      <w:r w:rsidRPr="006B7C01">
        <w:rPr>
          <w:rFonts w:ascii="微软雅黑" w:eastAsia="微软雅黑" w:hAnsi="微软雅黑"/>
          <w:sz w:val="28"/>
          <w:szCs w:val="28"/>
        </w:rPr>
        <w:t>实验台面（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/>
            <w:sz w:val="28"/>
            <w:szCs w:val="28"/>
          </w:rPr>
          <w:t>10mm</w:t>
        </w:r>
      </w:smartTag>
      <w:r w:rsidRPr="006B7C01">
        <w:rPr>
          <w:rFonts w:ascii="微软雅黑" w:eastAsia="微软雅黑" w:hAnsi="微软雅黑"/>
          <w:sz w:val="28"/>
          <w:szCs w:val="28"/>
        </w:rPr>
        <w:t>厚PP白色板）、</w:t>
      </w:r>
    </w:p>
    <w:p w14:paraId="232FAEDD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9、</w:t>
      </w:r>
      <w:r w:rsidRPr="006B7C01">
        <w:rPr>
          <w:rFonts w:ascii="微软雅黑" w:eastAsia="微软雅黑" w:hAnsi="微软雅黑"/>
          <w:sz w:val="28"/>
          <w:szCs w:val="28"/>
        </w:rPr>
        <w:t>电源控制系统：双面亚光密纹喷塑电控箱1只、漏电保护器、电压表、带锁按钮开关、线</w:t>
      </w:r>
      <w:r w:rsidRPr="006B7C01">
        <w:rPr>
          <w:rFonts w:ascii="微软雅黑" w:eastAsia="微软雅黑" w:hAnsi="微软雅黑" w:hint="eastAsia"/>
          <w:sz w:val="28"/>
          <w:szCs w:val="28"/>
        </w:rPr>
        <w:t>管</w:t>
      </w:r>
      <w:r w:rsidRPr="006B7C01">
        <w:rPr>
          <w:rFonts w:ascii="微软雅黑" w:eastAsia="微软雅黑" w:hAnsi="微软雅黑"/>
          <w:sz w:val="28"/>
          <w:szCs w:val="28"/>
        </w:rPr>
        <w:t>等组成，</w:t>
      </w:r>
    </w:p>
    <w:p w14:paraId="775426B4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10、</w:t>
      </w:r>
      <w:r w:rsidRPr="006B7C01">
        <w:rPr>
          <w:rFonts w:ascii="微软雅黑" w:eastAsia="微软雅黑" w:hAnsi="微软雅黑"/>
          <w:sz w:val="28"/>
          <w:szCs w:val="28"/>
        </w:rPr>
        <w:t>配套</w:t>
      </w:r>
      <w:r w:rsidRPr="006B7C01">
        <w:rPr>
          <w:rFonts w:ascii="微软雅黑" w:eastAsia="微软雅黑" w:hAnsi="微软雅黑" w:hint="eastAsia"/>
          <w:sz w:val="28"/>
          <w:szCs w:val="28"/>
        </w:rPr>
        <w:t>UPVC</w:t>
      </w:r>
      <w:r w:rsidRPr="006B7C01">
        <w:rPr>
          <w:rFonts w:ascii="微软雅黑" w:eastAsia="微软雅黑" w:hAnsi="微软雅黑"/>
          <w:sz w:val="28"/>
          <w:szCs w:val="28"/>
        </w:rPr>
        <w:t>连接管道和阀门</w:t>
      </w:r>
      <w:r w:rsidRPr="006B7C01">
        <w:rPr>
          <w:rFonts w:ascii="微软雅黑" w:eastAsia="微软雅黑" w:hAnsi="微软雅黑" w:hint="eastAsia"/>
          <w:sz w:val="28"/>
          <w:szCs w:val="28"/>
        </w:rPr>
        <w:t>（中财品牌）</w:t>
      </w:r>
      <w:r w:rsidRPr="006B7C01">
        <w:rPr>
          <w:rFonts w:ascii="微软雅黑" w:eastAsia="微软雅黑" w:hAnsi="微软雅黑"/>
          <w:sz w:val="28"/>
          <w:szCs w:val="28"/>
        </w:rPr>
        <w:t>。</w:t>
      </w:r>
    </w:p>
    <w:p w14:paraId="725DC019" w14:textId="77777777" w:rsidR="006B7C01" w:rsidRPr="006B7C01" w:rsidRDefault="006B7C01" w:rsidP="006B7C01">
      <w:pPr>
        <w:rPr>
          <w:rFonts w:ascii="微软雅黑" w:eastAsia="微软雅黑" w:hAnsi="微软雅黑"/>
          <w:sz w:val="28"/>
          <w:szCs w:val="28"/>
        </w:rPr>
      </w:pPr>
      <w:r w:rsidRPr="006B7C01">
        <w:rPr>
          <w:rFonts w:ascii="微软雅黑" w:eastAsia="微软雅黑" w:hAnsi="微软雅黑" w:hint="eastAsia"/>
          <w:sz w:val="28"/>
          <w:szCs w:val="28"/>
        </w:rPr>
        <w:t>11、</w:t>
      </w:r>
      <w:r w:rsidRPr="006B7C01">
        <w:rPr>
          <w:rFonts w:ascii="微软雅黑" w:eastAsia="微软雅黑" w:hAnsi="微软雅黑"/>
          <w:sz w:val="28"/>
          <w:szCs w:val="28"/>
        </w:rPr>
        <w:t>不锈钢框架实验台（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/>
            <w:sz w:val="28"/>
            <w:szCs w:val="28"/>
          </w:rPr>
          <w:t>30mm</w:t>
        </w:r>
      </w:smartTag>
      <w:r w:rsidRPr="006B7C01">
        <w:rPr>
          <w:rFonts w:ascii="微软雅黑" w:eastAsia="微软雅黑" w:hAnsi="微软雅黑"/>
          <w:sz w:val="28"/>
          <w:szCs w:val="28"/>
        </w:rPr>
        <w:t>×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6B7C01">
          <w:rPr>
            <w:rFonts w:ascii="微软雅黑" w:eastAsia="微软雅黑" w:hAnsi="微软雅黑"/>
            <w:sz w:val="28"/>
            <w:szCs w:val="28"/>
          </w:rPr>
          <w:t>30mm</w:t>
        </w:r>
      </w:smartTag>
      <w:r w:rsidRPr="006B7C01">
        <w:rPr>
          <w:rFonts w:ascii="微软雅黑" w:eastAsia="微软雅黑" w:hAnsi="微软雅黑"/>
          <w:sz w:val="28"/>
          <w:szCs w:val="28"/>
        </w:rPr>
        <w:t>不锈钢方管、配脚轮为万向轮带禁锢脚）等组成。</w:t>
      </w:r>
    </w:p>
    <w:p w14:paraId="6D4952C7" w14:textId="77777777" w:rsidR="00F97009" w:rsidRPr="006B7C01" w:rsidRDefault="00F97009" w:rsidP="006B7C01">
      <w:pPr>
        <w:rPr>
          <w:rFonts w:ascii="微软雅黑" w:eastAsia="微软雅黑" w:hAnsi="微软雅黑"/>
          <w:sz w:val="28"/>
          <w:szCs w:val="28"/>
        </w:rPr>
      </w:pPr>
    </w:p>
    <w:sectPr w:rsidR="00F97009" w:rsidRPr="006B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9513" w14:textId="77777777" w:rsidR="000F52D2" w:rsidRDefault="000F52D2" w:rsidP="006B7C01">
      <w:r>
        <w:separator/>
      </w:r>
    </w:p>
  </w:endnote>
  <w:endnote w:type="continuationSeparator" w:id="0">
    <w:p w14:paraId="47027465" w14:textId="77777777" w:rsidR="000F52D2" w:rsidRDefault="000F52D2" w:rsidP="006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0FEB" w14:textId="77777777" w:rsidR="000F52D2" w:rsidRDefault="000F52D2" w:rsidP="006B7C01">
      <w:r>
        <w:separator/>
      </w:r>
    </w:p>
  </w:footnote>
  <w:footnote w:type="continuationSeparator" w:id="0">
    <w:p w14:paraId="4F48779D" w14:textId="77777777" w:rsidR="000F52D2" w:rsidRDefault="000F52D2" w:rsidP="006B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311E"/>
    <w:multiLevelType w:val="hybridMultilevel"/>
    <w:tmpl w:val="8E2CA566"/>
    <w:lvl w:ilvl="0" w:tplc="01882A00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09"/>
    <w:rsid w:val="000F52D2"/>
    <w:rsid w:val="001F3E2B"/>
    <w:rsid w:val="003B3E1B"/>
    <w:rsid w:val="006B7C01"/>
    <w:rsid w:val="00F16712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536E31A"/>
  <w15:chartTrackingRefBased/>
  <w15:docId w15:val="{F41293DE-1FA1-4D8A-91AA-E6E3060F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C01"/>
    <w:rPr>
      <w:sz w:val="18"/>
      <w:szCs w:val="18"/>
    </w:rPr>
  </w:style>
  <w:style w:type="character" w:styleId="a7">
    <w:name w:val="Hyperlink"/>
    <w:basedOn w:val="a0"/>
    <w:uiPriority w:val="99"/>
    <w:unhideWhenUsed/>
    <w:rsid w:val="00F1671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iav.com.cn/2/45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878</Characters>
  <DocSecurity>0</DocSecurity>
  <Lines>7</Lines>
  <Paragraphs>2</Paragraphs>
  <ScaleCrop>false</ScaleCrop>
  <Company>上海顶邦教育设备制造有限公司;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2021-05-06T01:00:00Z</dcterms:created>
  <dcterms:modified xsi:type="dcterms:W3CDTF">2021-05-06T01:04:00Z</dcterms:modified>
</cp:coreProperties>
</file>