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74FC3" w14:textId="1AF5AE87" w:rsidR="002125DA" w:rsidRPr="00BE456A" w:rsidRDefault="00BE456A" w:rsidP="00BE456A">
      <w:pPr>
        <w:jc w:val="center"/>
        <w:rPr>
          <w:rFonts w:ascii="黑体" w:eastAsia="黑体" w:hAnsi="黑体"/>
          <w:sz w:val="32"/>
          <w:szCs w:val="32"/>
        </w:rPr>
      </w:pPr>
      <w:r w:rsidRPr="00BE456A">
        <w:rPr>
          <w:rFonts w:ascii="黑体" w:eastAsia="黑体" w:hAnsi="黑体"/>
          <w:sz w:val="32"/>
          <w:szCs w:val="32"/>
        </w:rPr>
        <w:t>DB-MNQ08 岸边集装箱桥式起重机模拟器</w:t>
      </w:r>
    </w:p>
    <w:p w14:paraId="5E353933" w14:textId="250CFEB8" w:rsidR="00BE456A" w:rsidRDefault="00BE456A"/>
    <w:p w14:paraId="285E6358" w14:textId="7E4FC3A2" w:rsidR="00BE456A" w:rsidRPr="00BE456A" w:rsidRDefault="00BE456A" w:rsidP="00BE456A">
      <w:pPr>
        <w:ind w:firstLineChars="100" w:firstLine="240"/>
        <w:rPr>
          <w:rFonts w:ascii="黑体" w:eastAsia="黑体" w:hAnsi="黑体"/>
          <w:sz w:val="24"/>
          <w:szCs w:val="24"/>
        </w:rPr>
      </w:pPr>
      <w:r w:rsidRPr="00BE456A">
        <w:rPr>
          <w:rFonts w:ascii="黑体" w:eastAsia="黑体" w:hAnsi="黑体" w:hint="eastAsia"/>
          <w:sz w:val="24"/>
          <w:szCs w:val="24"/>
        </w:rPr>
        <w:t>岸边集装箱桥式起重机模拟器是根据岸边集装箱桥式起重机驾驶员培训大纲和驾驶模拟机行业标准开发而成的产品。</w:t>
      </w:r>
    </w:p>
    <w:p w14:paraId="4815F545" w14:textId="77C71B46" w:rsidR="00BE456A" w:rsidRPr="00BE456A" w:rsidRDefault="00BE456A" w:rsidP="00BE456A">
      <w:pPr>
        <w:rPr>
          <w:rFonts w:ascii="黑体" w:eastAsia="黑体" w:hAnsi="黑体"/>
          <w:sz w:val="24"/>
          <w:szCs w:val="24"/>
        </w:rPr>
      </w:pPr>
      <w:r w:rsidRPr="00BE456A">
        <w:rPr>
          <w:rFonts w:ascii="黑体" w:eastAsia="黑体" w:hAnsi="黑体" w:hint="eastAsia"/>
          <w:sz w:val="24"/>
          <w:szCs w:val="24"/>
        </w:rPr>
        <w:t>该设备不属于游戏类型，其是利用真岸边集装箱桥式起重机的操作原理，采用和真机相仿的操作硬件配合岸边集装箱桥式起重机模拟机操作软件来实现的，是专供港口机械驾驶培训学校用教学设备。</w:t>
      </w:r>
    </w:p>
    <w:p w14:paraId="0D6F2ACA" w14:textId="68A6218E" w:rsidR="00BE456A" w:rsidRDefault="00BE456A" w:rsidP="00BE456A">
      <w:pPr>
        <w:ind w:firstLineChars="100" w:firstLine="240"/>
        <w:rPr>
          <w:rFonts w:ascii="黑体" w:eastAsia="黑体" w:hAnsi="黑体"/>
          <w:sz w:val="24"/>
          <w:szCs w:val="24"/>
        </w:rPr>
      </w:pPr>
      <w:r w:rsidRPr="00BE456A">
        <w:rPr>
          <w:rFonts w:ascii="黑体" w:eastAsia="黑体" w:hAnsi="黑体" w:hint="eastAsia"/>
          <w:sz w:val="24"/>
          <w:szCs w:val="24"/>
        </w:rPr>
        <w:t>岸边集装箱桥式起重机模拟器多予以学员身临其境的感受，模仿真实情景操作，是适应现代培训市场和培训理念的新型产品。</w:t>
      </w:r>
      <w:r w:rsidRPr="00BE456A">
        <w:rPr>
          <w:rFonts w:ascii="黑体" w:eastAsia="黑体" w:hAnsi="黑体"/>
          <w:sz w:val="24"/>
          <w:szCs w:val="24"/>
        </w:rPr>
        <w:tab/>
      </w:r>
    </w:p>
    <w:p w14:paraId="4862410B" w14:textId="4641741B" w:rsidR="008A75B7" w:rsidRPr="00BE456A" w:rsidRDefault="008A75B7" w:rsidP="00BE456A">
      <w:pPr>
        <w:ind w:firstLineChars="100" w:firstLine="210"/>
        <w:rPr>
          <w:rFonts w:ascii="黑体" w:eastAsia="黑体" w:hAnsi="黑体"/>
          <w:sz w:val="24"/>
          <w:szCs w:val="24"/>
        </w:rPr>
      </w:pPr>
      <w:r>
        <w:rPr>
          <w:noProof/>
        </w:rPr>
        <w:drawing>
          <wp:inline distT="0" distB="0" distL="0" distR="0" wp14:anchorId="0B6CB97C" wp14:editId="7B21FE73">
            <wp:extent cx="5274310" cy="63074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6307455"/>
                    </a:xfrm>
                    <a:prstGeom prst="rect">
                      <a:avLst/>
                    </a:prstGeom>
                    <a:noFill/>
                    <a:ln>
                      <a:noFill/>
                    </a:ln>
                  </pic:spPr>
                </pic:pic>
              </a:graphicData>
            </a:graphic>
          </wp:inline>
        </w:drawing>
      </w:r>
    </w:p>
    <w:p w14:paraId="7CC94F3C" w14:textId="77777777" w:rsidR="00BE456A" w:rsidRPr="00BE456A" w:rsidRDefault="00BE456A" w:rsidP="00BE456A">
      <w:pPr>
        <w:rPr>
          <w:rFonts w:ascii="黑体" w:eastAsia="黑体" w:hAnsi="黑体"/>
          <w:sz w:val="24"/>
          <w:szCs w:val="24"/>
        </w:rPr>
      </w:pPr>
      <w:r w:rsidRPr="00BE456A">
        <w:rPr>
          <w:rFonts w:ascii="黑体" w:eastAsia="黑体" w:hAnsi="黑体" w:hint="eastAsia"/>
          <w:sz w:val="24"/>
          <w:szCs w:val="24"/>
        </w:rPr>
        <w:t>产品功能与特点：</w:t>
      </w:r>
    </w:p>
    <w:p w14:paraId="51F1B86B" w14:textId="77777777" w:rsidR="00BE456A" w:rsidRPr="00BE456A" w:rsidRDefault="00BE456A" w:rsidP="00BE456A">
      <w:pPr>
        <w:rPr>
          <w:rFonts w:ascii="黑体" w:eastAsia="黑体" w:hAnsi="黑体"/>
          <w:sz w:val="24"/>
          <w:szCs w:val="24"/>
        </w:rPr>
      </w:pPr>
      <w:r w:rsidRPr="00BE456A">
        <w:rPr>
          <w:rFonts w:ascii="黑体" w:eastAsia="黑体" w:hAnsi="黑体" w:hint="eastAsia"/>
          <w:sz w:val="24"/>
          <w:szCs w:val="24"/>
        </w:rPr>
        <w:t>1）解决学校难题</w:t>
      </w:r>
    </w:p>
    <w:p w14:paraId="413CB205" w14:textId="77777777" w:rsidR="00BE456A" w:rsidRPr="00BE456A" w:rsidRDefault="00BE456A" w:rsidP="00BE456A">
      <w:pPr>
        <w:rPr>
          <w:rFonts w:ascii="黑体" w:eastAsia="黑体" w:hAnsi="黑体"/>
          <w:sz w:val="24"/>
          <w:szCs w:val="24"/>
        </w:rPr>
      </w:pPr>
      <w:r w:rsidRPr="00BE456A">
        <w:rPr>
          <w:rFonts w:ascii="黑体" w:eastAsia="黑体" w:hAnsi="黑体" w:hint="eastAsia"/>
          <w:sz w:val="24"/>
          <w:szCs w:val="24"/>
        </w:rPr>
        <w:lastRenderedPageBreak/>
        <w:t>目前国内工程机械培训学校普遍存在学员多、训练机器少造成的上机时间不足等问题，通过模拟操作培训环节的增加，不仅延长了学员上机时间，彻底解决了因训练机器少、上机时间短而产生的学校与学员矛盾。</w:t>
      </w:r>
    </w:p>
    <w:p w14:paraId="508638CA" w14:textId="77777777" w:rsidR="00BE456A" w:rsidRPr="00BE456A" w:rsidRDefault="00BE456A" w:rsidP="00BE456A">
      <w:pPr>
        <w:rPr>
          <w:rFonts w:ascii="黑体" w:eastAsia="黑体" w:hAnsi="黑体"/>
          <w:sz w:val="24"/>
          <w:szCs w:val="24"/>
        </w:rPr>
      </w:pPr>
      <w:r w:rsidRPr="00BE456A">
        <w:rPr>
          <w:rFonts w:ascii="黑体" w:eastAsia="黑体" w:hAnsi="黑体" w:hint="eastAsia"/>
          <w:sz w:val="24"/>
          <w:szCs w:val="24"/>
        </w:rPr>
        <w:t>2）提高教学质量</w:t>
      </w:r>
    </w:p>
    <w:p w14:paraId="483D8875" w14:textId="77777777" w:rsidR="00BE456A" w:rsidRPr="00BE456A" w:rsidRDefault="00BE456A" w:rsidP="00BE456A">
      <w:pPr>
        <w:rPr>
          <w:rFonts w:ascii="黑体" w:eastAsia="黑体" w:hAnsi="黑体"/>
          <w:sz w:val="24"/>
          <w:szCs w:val="24"/>
        </w:rPr>
      </w:pPr>
      <w:r w:rsidRPr="00BE456A">
        <w:rPr>
          <w:rFonts w:ascii="黑体" w:eastAsia="黑体" w:hAnsi="黑体" w:hint="eastAsia"/>
          <w:sz w:val="24"/>
          <w:szCs w:val="24"/>
        </w:rPr>
        <w:t>系统配合声音、图像、动漫及互动视景设备，培养学员在真机操作前，熟练掌握岸边集装箱（桥式）起重机的各种操作技能及技巧。通过操作20多款逼真的岸边集装箱（桥式）起重机培训项目，延长培训时间，从而有效的弥补了真机训练时间短等缺陷，达到熟能生巧的目的，提高培训效率。</w:t>
      </w:r>
    </w:p>
    <w:p w14:paraId="7BA8B9A1" w14:textId="77777777" w:rsidR="00BE456A" w:rsidRPr="00BE456A" w:rsidRDefault="00BE456A" w:rsidP="00BE456A">
      <w:pPr>
        <w:rPr>
          <w:rFonts w:ascii="黑体" w:eastAsia="黑体" w:hAnsi="黑体"/>
          <w:sz w:val="24"/>
          <w:szCs w:val="24"/>
        </w:rPr>
      </w:pPr>
      <w:r w:rsidRPr="00BE456A">
        <w:rPr>
          <w:rFonts w:ascii="黑体" w:eastAsia="黑体" w:hAnsi="黑体" w:hint="eastAsia"/>
          <w:sz w:val="24"/>
          <w:szCs w:val="24"/>
        </w:rPr>
        <w:t>3）节省成本</w:t>
      </w:r>
    </w:p>
    <w:p w14:paraId="12E6607C" w14:textId="018E0408" w:rsidR="00BE456A" w:rsidRPr="00BE456A" w:rsidRDefault="00BE456A" w:rsidP="00BE456A">
      <w:pPr>
        <w:rPr>
          <w:rFonts w:ascii="黑体" w:eastAsia="黑体" w:hAnsi="黑体"/>
          <w:sz w:val="24"/>
          <w:szCs w:val="24"/>
        </w:rPr>
      </w:pPr>
      <w:r w:rsidRPr="00BE456A">
        <w:rPr>
          <w:rFonts w:ascii="黑体" w:eastAsia="黑体" w:hAnsi="黑体" w:hint="eastAsia"/>
          <w:sz w:val="24"/>
          <w:szCs w:val="24"/>
        </w:rPr>
        <w:t>模拟培训教学仪在提高教学质量的同时，有效节省了真机培训时间，从而为学校节省庞大的教学开支。</w:t>
      </w:r>
    </w:p>
    <w:p w14:paraId="2B10266D" w14:textId="77777777" w:rsidR="00BE456A" w:rsidRPr="00BE456A" w:rsidRDefault="00BE456A" w:rsidP="00BE456A">
      <w:pPr>
        <w:rPr>
          <w:rFonts w:ascii="黑体" w:eastAsia="黑体" w:hAnsi="黑体"/>
          <w:sz w:val="24"/>
          <w:szCs w:val="24"/>
        </w:rPr>
      </w:pPr>
      <w:r w:rsidRPr="00BE456A">
        <w:rPr>
          <w:rFonts w:ascii="黑体" w:eastAsia="黑体" w:hAnsi="黑体" w:hint="eastAsia"/>
          <w:sz w:val="24"/>
          <w:szCs w:val="24"/>
        </w:rPr>
        <w:t>4）增强安全性</w:t>
      </w:r>
    </w:p>
    <w:p w14:paraId="259EF1F9" w14:textId="77777777" w:rsidR="00BE456A" w:rsidRPr="00BE456A" w:rsidRDefault="00BE456A" w:rsidP="00BE456A">
      <w:pPr>
        <w:rPr>
          <w:rFonts w:ascii="黑体" w:eastAsia="黑体" w:hAnsi="黑体"/>
          <w:sz w:val="24"/>
          <w:szCs w:val="24"/>
        </w:rPr>
      </w:pPr>
      <w:r w:rsidRPr="00BE456A">
        <w:rPr>
          <w:rFonts w:ascii="黑体" w:eastAsia="黑体" w:hAnsi="黑体" w:hint="eastAsia"/>
          <w:sz w:val="24"/>
          <w:szCs w:val="24"/>
        </w:rPr>
        <w:t>学员进行训练时不会对机器、自身、学校财产带来意外和风险。</w:t>
      </w:r>
    </w:p>
    <w:p w14:paraId="5DB5B725" w14:textId="77777777" w:rsidR="00BE456A" w:rsidRPr="00BE456A" w:rsidRDefault="00BE456A" w:rsidP="00BE456A">
      <w:pPr>
        <w:rPr>
          <w:rFonts w:ascii="黑体" w:eastAsia="黑体" w:hAnsi="黑体"/>
          <w:sz w:val="24"/>
          <w:szCs w:val="24"/>
        </w:rPr>
      </w:pPr>
      <w:r w:rsidRPr="00BE456A">
        <w:rPr>
          <w:rFonts w:ascii="黑体" w:eastAsia="黑体" w:hAnsi="黑体" w:hint="eastAsia"/>
          <w:sz w:val="24"/>
          <w:szCs w:val="24"/>
        </w:rPr>
        <w:t>5）培训灵活</w:t>
      </w:r>
    </w:p>
    <w:p w14:paraId="1F3FF08B" w14:textId="77777777" w:rsidR="00BE456A" w:rsidRPr="00BE456A" w:rsidRDefault="00BE456A" w:rsidP="00BE456A">
      <w:pPr>
        <w:rPr>
          <w:rFonts w:ascii="黑体" w:eastAsia="黑体" w:hAnsi="黑体"/>
          <w:sz w:val="24"/>
          <w:szCs w:val="24"/>
        </w:rPr>
      </w:pPr>
      <w:r w:rsidRPr="00BE456A">
        <w:rPr>
          <w:rFonts w:ascii="黑体" w:eastAsia="黑体" w:hAnsi="黑体" w:hint="eastAsia"/>
          <w:sz w:val="24"/>
          <w:szCs w:val="24"/>
        </w:rPr>
        <w:t>无论是白昼、阴雨天均可进行培训，培训时间根据学校情况灵活调整，彻底解决因气候问题造成的教学不便。</w:t>
      </w:r>
    </w:p>
    <w:p w14:paraId="72FBBFC3" w14:textId="77777777" w:rsidR="00BE456A" w:rsidRPr="00BE456A" w:rsidRDefault="00BE456A" w:rsidP="00BE456A">
      <w:pPr>
        <w:rPr>
          <w:rFonts w:ascii="黑体" w:eastAsia="黑体" w:hAnsi="黑体"/>
          <w:sz w:val="24"/>
          <w:szCs w:val="24"/>
        </w:rPr>
      </w:pPr>
      <w:r w:rsidRPr="00BE456A">
        <w:rPr>
          <w:rFonts w:ascii="黑体" w:eastAsia="黑体" w:hAnsi="黑体"/>
          <w:noProof/>
          <w:sz w:val="24"/>
          <w:szCs w:val="24"/>
        </w:rPr>
        <w:drawing>
          <wp:inline distT="0" distB="0" distL="0" distR="0" wp14:anchorId="352C16B5" wp14:editId="776FDDAA">
            <wp:extent cx="5274310" cy="2965450"/>
            <wp:effectExtent l="0" t="0" r="2540" b="635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965450"/>
                    </a:xfrm>
                    <a:prstGeom prst="rect">
                      <a:avLst/>
                    </a:prstGeom>
                    <a:noFill/>
                    <a:ln>
                      <a:noFill/>
                    </a:ln>
                  </pic:spPr>
                </pic:pic>
              </a:graphicData>
            </a:graphic>
          </wp:inline>
        </w:drawing>
      </w:r>
    </w:p>
    <w:p w14:paraId="3EF88FAE" w14:textId="77777777" w:rsidR="00BE456A" w:rsidRPr="00BE456A" w:rsidRDefault="00BE456A" w:rsidP="00BE456A">
      <w:pPr>
        <w:rPr>
          <w:rFonts w:ascii="黑体" w:eastAsia="黑体" w:hAnsi="黑体"/>
          <w:sz w:val="24"/>
          <w:szCs w:val="24"/>
        </w:rPr>
      </w:pPr>
      <w:r w:rsidRPr="00BE456A">
        <w:rPr>
          <w:rFonts w:ascii="黑体" w:eastAsia="黑体" w:hAnsi="黑体"/>
          <w:noProof/>
          <w:sz w:val="24"/>
          <w:szCs w:val="24"/>
        </w:rPr>
        <w:lastRenderedPageBreak/>
        <w:drawing>
          <wp:inline distT="0" distB="0" distL="0" distR="0" wp14:anchorId="1997C0A4" wp14:editId="6DC60D0C">
            <wp:extent cx="5274310" cy="2965450"/>
            <wp:effectExtent l="0" t="0" r="2540" b="635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965450"/>
                    </a:xfrm>
                    <a:prstGeom prst="rect">
                      <a:avLst/>
                    </a:prstGeom>
                    <a:noFill/>
                    <a:ln>
                      <a:noFill/>
                    </a:ln>
                  </pic:spPr>
                </pic:pic>
              </a:graphicData>
            </a:graphic>
          </wp:inline>
        </w:drawing>
      </w:r>
    </w:p>
    <w:p w14:paraId="60ACD928" w14:textId="77777777" w:rsidR="00BE456A" w:rsidRPr="00BE456A" w:rsidRDefault="00BE456A" w:rsidP="00BE456A">
      <w:pPr>
        <w:rPr>
          <w:rFonts w:ascii="黑体" w:eastAsia="黑体" w:hAnsi="黑体"/>
          <w:sz w:val="24"/>
          <w:szCs w:val="24"/>
        </w:rPr>
      </w:pPr>
      <w:r w:rsidRPr="00BE456A">
        <w:rPr>
          <w:rFonts w:ascii="黑体" w:eastAsia="黑体" w:hAnsi="黑体"/>
          <w:noProof/>
          <w:sz w:val="24"/>
          <w:szCs w:val="24"/>
        </w:rPr>
        <w:drawing>
          <wp:inline distT="0" distB="0" distL="0" distR="0" wp14:anchorId="61EF6B69" wp14:editId="38F88445">
            <wp:extent cx="5274310" cy="2965450"/>
            <wp:effectExtent l="0" t="0" r="2540" b="635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965450"/>
                    </a:xfrm>
                    <a:prstGeom prst="rect">
                      <a:avLst/>
                    </a:prstGeom>
                    <a:noFill/>
                    <a:ln>
                      <a:noFill/>
                    </a:ln>
                  </pic:spPr>
                </pic:pic>
              </a:graphicData>
            </a:graphic>
          </wp:inline>
        </w:drawing>
      </w:r>
    </w:p>
    <w:p w14:paraId="6213B04A" w14:textId="77777777" w:rsidR="00BE456A" w:rsidRPr="00BE456A" w:rsidRDefault="00BE456A" w:rsidP="00BE456A">
      <w:pPr>
        <w:rPr>
          <w:rFonts w:ascii="黑体" w:eastAsia="黑体" w:hAnsi="黑体"/>
          <w:sz w:val="24"/>
          <w:szCs w:val="24"/>
        </w:rPr>
      </w:pPr>
      <w:r w:rsidRPr="00BE456A">
        <w:rPr>
          <w:rFonts w:ascii="黑体" w:eastAsia="黑体" w:hAnsi="黑体"/>
          <w:noProof/>
          <w:sz w:val="24"/>
          <w:szCs w:val="24"/>
        </w:rPr>
        <w:lastRenderedPageBreak/>
        <w:drawing>
          <wp:inline distT="0" distB="0" distL="0" distR="0" wp14:anchorId="30F71ED6" wp14:editId="1366D46E">
            <wp:extent cx="5274310" cy="2965450"/>
            <wp:effectExtent l="0" t="0" r="2540" b="635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965450"/>
                    </a:xfrm>
                    <a:prstGeom prst="rect">
                      <a:avLst/>
                    </a:prstGeom>
                    <a:noFill/>
                    <a:ln>
                      <a:noFill/>
                    </a:ln>
                  </pic:spPr>
                </pic:pic>
              </a:graphicData>
            </a:graphic>
          </wp:inline>
        </w:drawing>
      </w:r>
    </w:p>
    <w:p w14:paraId="285F0224" w14:textId="568CF1C2" w:rsidR="00BE456A" w:rsidRPr="00BE456A" w:rsidRDefault="00BE456A" w:rsidP="00BE456A">
      <w:pPr>
        <w:rPr>
          <w:rFonts w:ascii="黑体" w:eastAsia="黑体" w:hAnsi="黑体" w:cs="FangSong_GB2312-Identity-H"/>
          <w:b/>
          <w:bCs/>
          <w:kern w:val="0"/>
          <w:sz w:val="24"/>
          <w:szCs w:val="24"/>
        </w:rPr>
      </w:pPr>
      <w:r w:rsidRPr="00BE456A">
        <w:rPr>
          <w:rFonts w:ascii="黑体" w:eastAsia="黑体" w:hAnsi="黑体" w:cs="FangSong_GB2312-Identity-H" w:hint="eastAsia"/>
          <w:b/>
          <w:bCs/>
          <w:kern w:val="0"/>
          <w:sz w:val="24"/>
          <w:szCs w:val="24"/>
        </w:rPr>
        <w:t>岸边集装箱桥式起重机</w:t>
      </w:r>
      <w:r w:rsidRPr="00BE456A">
        <w:rPr>
          <w:rFonts w:ascii="黑体" w:eastAsia="黑体" w:hAnsi="黑体" w:cs="FangSong_GB2312-Identity-H" w:hint="eastAsia"/>
          <w:b/>
          <w:bCs/>
          <w:kern w:val="0"/>
          <w:sz w:val="24"/>
          <w:szCs w:val="24"/>
        </w:rPr>
        <w:t>模拟器</w:t>
      </w:r>
      <w:r w:rsidRPr="00BE456A">
        <w:rPr>
          <w:rFonts w:ascii="黑体" w:eastAsia="黑体" w:hAnsi="黑体" w:cs="FangSong_GB2312-Identity-H" w:hint="eastAsia"/>
          <w:b/>
          <w:bCs/>
          <w:kern w:val="0"/>
          <w:sz w:val="24"/>
          <w:szCs w:val="24"/>
        </w:rPr>
        <w:t>主要技术参数</w:t>
      </w:r>
    </w:p>
    <w:tbl>
      <w:tblPr>
        <w:tblW w:w="9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9"/>
        <w:gridCol w:w="199"/>
        <w:gridCol w:w="6337"/>
      </w:tblGrid>
      <w:tr w:rsidR="00BE456A" w:rsidRPr="00BE456A" w14:paraId="6953A2C3" w14:textId="77777777" w:rsidTr="003027A9">
        <w:trPr>
          <w:trHeight w:val="450"/>
        </w:trPr>
        <w:tc>
          <w:tcPr>
            <w:tcW w:w="2789" w:type="dxa"/>
            <w:vAlign w:val="center"/>
          </w:tcPr>
          <w:p w14:paraId="5FE1F133" w14:textId="77777777" w:rsidR="00BE456A" w:rsidRPr="00BE456A" w:rsidRDefault="00BE456A" w:rsidP="003027A9">
            <w:pPr>
              <w:spacing w:line="360" w:lineRule="auto"/>
              <w:jc w:val="center"/>
              <w:rPr>
                <w:rFonts w:ascii="黑体" w:eastAsia="黑体" w:hAnsi="黑体"/>
                <w:sz w:val="24"/>
                <w:szCs w:val="24"/>
              </w:rPr>
            </w:pPr>
            <w:r w:rsidRPr="00BE456A">
              <w:rPr>
                <w:rFonts w:ascii="黑体" w:eastAsia="黑体" w:hAnsi="黑体" w:hint="eastAsia"/>
                <w:sz w:val="24"/>
                <w:szCs w:val="24"/>
              </w:rPr>
              <w:t>软件系统仿真系统</w:t>
            </w:r>
          </w:p>
        </w:tc>
        <w:tc>
          <w:tcPr>
            <w:tcW w:w="6536" w:type="dxa"/>
            <w:gridSpan w:val="2"/>
          </w:tcPr>
          <w:p w14:paraId="79EF0E5C" w14:textId="77777777" w:rsidR="00BE456A" w:rsidRPr="00BE456A" w:rsidRDefault="00BE456A" w:rsidP="00BE456A">
            <w:pPr>
              <w:widowControl/>
              <w:numPr>
                <w:ilvl w:val="0"/>
                <w:numId w:val="1"/>
              </w:numPr>
              <w:jc w:val="left"/>
              <w:rPr>
                <w:rFonts w:ascii="黑体" w:eastAsia="黑体" w:hAnsi="黑体" w:cs="FangSong_GB2312-Identity-H"/>
                <w:kern w:val="0"/>
                <w:sz w:val="24"/>
                <w:szCs w:val="24"/>
              </w:rPr>
            </w:pPr>
            <w:r w:rsidRPr="00BE456A">
              <w:rPr>
                <w:rFonts w:ascii="黑体" w:eastAsia="黑体" w:hAnsi="黑体" w:cs="宋体" w:hint="eastAsia"/>
                <w:kern w:val="0"/>
                <w:sz w:val="24"/>
                <w:szCs w:val="24"/>
              </w:rPr>
              <w:t>符合最新</w:t>
            </w:r>
            <w:r w:rsidRPr="00BE456A">
              <w:rPr>
                <w:rFonts w:ascii="黑体" w:eastAsia="黑体" w:hAnsi="黑体" w:hint="eastAsia"/>
                <w:sz w:val="24"/>
                <w:szCs w:val="24"/>
              </w:rPr>
              <w:t>岸边集装箱桥式起重机</w:t>
            </w:r>
            <w:r w:rsidRPr="00BE456A">
              <w:rPr>
                <w:rFonts w:ascii="黑体" w:eastAsia="黑体" w:hAnsi="黑体" w:cs="宋体" w:hint="eastAsia"/>
                <w:kern w:val="0"/>
                <w:sz w:val="24"/>
                <w:szCs w:val="24"/>
              </w:rPr>
              <w:t>驾驶员培训</w:t>
            </w:r>
            <w:r w:rsidRPr="00BE456A">
              <w:rPr>
                <w:rFonts w:ascii="黑体" w:eastAsia="黑体" w:hAnsi="黑体" w:cs="FangSong_GB2312-Identity-H" w:hint="eastAsia"/>
                <w:kern w:val="0"/>
                <w:sz w:val="24"/>
                <w:szCs w:val="24"/>
              </w:rPr>
              <w:t>培训大纲，配备最新的“</w:t>
            </w:r>
            <w:r w:rsidRPr="00BE456A">
              <w:rPr>
                <w:rFonts w:ascii="黑体" w:eastAsia="黑体" w:hAnsi="黑体" w:hint="eastAsia"/>
                <w:sz w:val="24"/>
                <w:szCs w:val="24"/>
              </w:rPr>
              <w:t>岸边集装箱桥式起重机</w:t>
            </w:r>
            <w:r w:rsidRPr="00BE456A">
              <w:rPr>
                <w:rFonts w:ascii="黑体" w:eastAsia="黑体" w:hAnsi="黑体" w:cs="FangSong_GB2312-Identity-H" w:hint="eastAsia"/>
                <w:kern w:val="0"/>
                <w:sz w:val="24"/>
                <w:szCs w:val="24"/>
              </w:rPr>
              <w:t>模拟仿真系统”版本；</w:t>
            </w:r>
          </w:p>
          <w:p w14:paraId="6306E1A5" w14:textId="77777777" w:rsidR="00BE456A" w:rsidRPr="00BE456A" w:rsidRDefault="00BE456A" w:rsidP="00BE456A">
            <w:pPr>
              <w:widowControl/>
              <w:numPr>
                <w:ilvl w:val="0"/>
                <w:numId w:val="1"/>
              </w:numPr>
              <w:jc w:val="left"/>
              <w:rPr>
                <w:rFonts w:ascii="黑体" w:eastAsia="黑体" w:hAnsi="黑体" w:cs="FangSong_GB2312-Identity-H"/>
                <w:kern w:val="0"/>
                <w:sz w:val="24"/>
                <w:szCs w:val="24"/>
              </w:rPr>
            </w:pPr>
            <w:r w:rsidRPr="00BE456A">
              <w:rPr>
                <w:rFonts w:ascii="黑体" w:eastAsia="黑体" w:hAnsi="黑体" w:cs="FangSong_GB2312-Identity-H" w:hint="eastAsia"/>
                <w:kern w:val="0"/>
                <w:sz w:val="24"/>
                <w:szCs w:val="24"/>
              </w:rPr>
              <w:t>软件中均采用</w:t>
            </w:r>
            <w:r w:rsidRPr="00BE456A">
              <w:rPr>
                <w:rFonts w:ascii="黑体" w:eastAsia="黑体" w:hAnsi="黑体" w:hint="eastAsia"/>
                <w:sz w:val="24"/>
                <w:szCs w:val="24"/>
              </w:rPr>
              <w:t>岸边集装箱桥式起重机</w:t>
            </w:r>
            <w:r w:rsidRPr="00BE456A">
              <w:rPr>
                <w:rFonts w:ascii="黑体" w:eastAsia="黑体" w:hAnsi="黑体" w:cs="FangSong_GB2312-Identity-H" w:hint="eastAsia"/>
                <w:kern w:val="0"/>
                <w:sz w:val="24"/>
                <w:szCs w:val="24"/>
              </w:rPr>
              <w:t>真实比例进行3D模型设计制作。</w:t>
            </w:r>
          </w:p>
          <w:p w14:paraId="1A0B6B75" w14:textId="77777777" w:rsidR="00BE456A" w:rsidRPr="00BE456A" w:rsidRDefault="00BE456A" w:rsidP="00BE456A">
            <w:pPr>
              <w:widowControl/>
              <w:numPr>
                <w:ilvl w:val="0"/>
                <w:numId w:val="1"/>
              </w:numPr>
              <w:jc w:val="left"/>
              <w:rPr>
                <w:rFonts w:ascii="黑体" w:eastAsia="黑体" w:hAnsi="黑体" w:cs="FangSong_GB2312-Identity-H"/>
                <w:kern w:val="0"/>
                <w:sz w:val="24"/>
                <w:szCs w:val="24"/>
              </w:rPr>
            </w:pPr>
            <w:r w:rsidRPr="00BE456A">
              <w:rPr>
                <w:rFonts w:ascii="黑体" w:eastAsia="黑体" w:hAnsi="黑体" w:cs="FangSong_GB2312-Identity-H" w:hint="eastAsia"/>
                <w:kern w:val="0"/>
                <w:sz w:val="24"/>
                <w:szCs w:val="24"/>
              </w:rPr>
              <w:t>高集成数据电路板及各种功能调节组件等组成，操作时在视屏上显示输出与操作相对应的逼真三维场景并伴有相应语音提示；</w:t>
            </w:r>
          </w:p>
          <w:p w14:paraId="43262C4A" w14:textId="77777777" w:rsidR="00BE456A" w:rsidRPr="00BE456A" w:rsidRDefault="00BE456A" w:rsidP="00BE456A">
            <w:pPr>
              <w:widowControl/>
              <w:numPr>
                <w:ilvl w:val="0"/>
                <w:numId w:val="1"/>
              </w:numPr>
              <w:jc w:val="left"/>
              <w:rPr>
                <w:rFonts w:ascii="黑体" w:eastAsia="黑体" w:hAnsi="黑体" w:cs="FangSong_GB2312-Identity-H"/>
                <w:kern w:val="0"/>
                <w:sz w:val="24"/>
                <w:szCs w:val="24"/>
              </w:rPr>
            </w:pPr>
            <w:r w:rsidRPr="00BE456A">
              <w:rPr>
                <w:rFonts w:ascii="黑体" w:eastAsia="黑体" w:hAnsi="黑体" w:cs="FangSong_GB2312-Identity-H" w:hint="eastAsia"/>
                <w:kern w:val="0"/>
                <w:sz w:val="24"/>
                <w:szCs w:val="24"/>
              </w:rPr>
              <w:t>具备多种工况综合演练的功能；</w:t>
            </w:r>
          </w:p>
          <w:p w14:paraId="2A7DE2FC" w14:textId="77777777" w:rsidR="00BE456A" w:rsidRPr="00BE456A" w:rsidRDefault="00BE456A" w:rsidP="00BE456A">
            <w:pPr>
              <w:widowControl/>
              <w:numPr>
                <w:ilvl w:val="0"/>
                <w:numId w:val="1"/>
              </w:numPr>
              <w:jc w:val="left"/>
              <w:rPr>
                <w:rFonts w:ascii="黑体" w:eastAsia="黑体" w:hAnsi="黑体" w:cs="FangSong_GB2312-Identity-H"/>
                <w:kern w:val="0"/>
                <w:sz w:val="24"/>
                <w:szCs w:val="24"/>
              </w:rPr>
            </w:pPr>
            <w:r w:rsidRPr="00BE456A">
              <w:rPr>
                <w:rFonts w:ascii="黑体" w:eastAsia="黑体" w:hAnsi="黑体" w:cs="FangSong_GB2312-Identity-H" w:hint="eastAsia"/>
                <w:kern w:val="0"/>
                <w:sz w:val="24"/>
                <w:szCs w:val="24"/>
              </w:rPr>
              <w:t>课题中含有大量的实时错误提示，包括文字提示、语音提示、屏幕闪红等内容。帮助学员及时纠正违规操作和错误动作；</w:t>
            </w:r>
          </w:p>
          <w:p w14:paraId="3A7997B1" w14:textId="77777777" w:rsidR="00BE456A" w:rsidRPr="00BE456A" w:rsidRDefault="00BE456A" w:rsidP="00BE456A">
            <w:pPr>
              <w:widowControl/>
              <w:numPr>
                <w:ilvl w:val="0"/>
                <w:numId w:val="1"/>
              </w:numPr>
              <w:ind w:left="143" w:hanging="97"/>
              <w:jc w:val="left"/>
              <w:rPr>
                <w:rFonts w:ascii="黑体" w:eastAsia="黑体" w:hAnsi="黑体" w:cs="FangSong_GB2312-Identity-H"/>
                <w:kern w:val="0"/>
                <w:sz w:val="24"/>
                <w:szCs w:val="24"/>
              </w:rPr>
            </w:pPr>
            <w:r w:rsidRPr="00BE456A">
              <w:rPr>
                <w:rFonts w:ascii="黑体" w:eastAsia="黑体" w:hAnsi="黑体" w:cs="FangSong_GB2312-Identity-H" w:hint="eastAsia"/>
                <w:kern w:val="0"/>
                <w:sz w:val="24"/>
                <w:szCs w:val="24"/>
              </w:rPr>
              <w:t>基础训练模式：</w:t>
            </w:r>
            <w:r w:rsidRPr="00BE456A">
              <w:rPr>
                <w:rFonts w:ascii="黑体" w:eastAsia="黑体" w:hAnsi="黑体" w:hint="eastAsia"/>
                <w:sz w:val="24"/>
                <w:szCs w:val="24"/>
              </w:rPr>
              <w:t>岸边集装箱桥式起重机</w:t>
            </w:r>
            <w:r w:rsidRPr="00BE456A">
              <w:rPr>
                <w:rFonts w:ascii="黑体" w:eastAsia="黑体" w:hAnsi="黑体" w:cs="FangSong_GB2312-Identity-H" w:hint="eastAsia"/>
                <w:kern w:val="0"/>
                <w:sz w:val="24"/>
                <w:szCs w:val="24"/>
              </w:rPr>
              <w:t>模拟机可满足设备基础规范操作的要求，可实现大车前后行走、小车前后行走、主钩升降等的逼真模拟。</w:t>
            </w:r>
          </w:p>
          <w:p w14:paraId="65BD3957" w14:textId="77777777" w:rsidR="00BE456A" w:rsidRPr="00BE456A" w:rsidRDefault="00BE456A" w:rsidP="00BE456A">
            <w:pPr>
              <w:widowControl/>
              <w:numPr>
                <w:ilvl w:val="0"/>
                <w:numId w:val="1"/>
              </w:numPr>
              <w:ind w:left="46"/>
              <w:jc w:val="left"/>
              <w:rPr>
                <w:rFonts w:ascii="黑体" w:eastAsia="黑体" w:hAnsi="黑体" w:cs="FangSong_GB2312-Identity-H"/>
                <w:kern w:val="0"/>
                <w:sz w:val="24"/>
                <w:szCs w:val="24"/>
              </w:rPr>
            </w:pPr>
            <w:r w:rsidRPr="00BE456A">
              <w:rPr>
                <w:rFonts w:ascii="黑体" w:eastAsia="黑体" w:hAnsi="黑体" w:cs="FangSong_GB2312-Identity-H" w:hint="eastAsia"/>
                <w:kern w:val="0"/>
                <w:sz w:val="24"/>
                <w:szCs w:val="24"/>
              </w:rPr>
              <w:t>考核操作模式：满足符合国家最新考核标准的规范要求；</w:t>
            </w:r>
          </w:p>
          <w:p w14:paraId="274DA8DB" w14:textId="77777777" w:rsidR="00BE456A" w:rsidRPr="00BE456A" w:rsidRDefault="00BE456A" w:rsidP="00BE456A">
            <w:pPr>
              <w:widowControl/>
              <w:numPr>
                <w:ilvl w:val="0"/>
                <w:numId w:val="1"/>
              </w:numPr>
              <w:ind w:left="46"/>
              <w:jc w:val="left"/>
              <w:rPr>
                <w:rFonts w:ascii="黑体" w:eastAsia="黑体" w:hAnsi="黑体" w:cs="FangSong_GB2312-Identity-H"/>
                <w:kern w:val="0"/>
                <w:sz w:val="24"/>
                <w:szCs w:val="24"/>
              </w:rPr>
            </w:pPr>
            <w:r w:rsidRPr="00BE456A">
              <w:rPr>
                <w:rFonts w:ascii="黑体" w:eastAsia="黑体" w:hAnsi="黑体" w:cs="FangSong_GB2312-Identity-H" w:hint="eastAsia"/>
                <w:kern w:val="0"/>
                <w:sz w:val="24"/>
                <w:szCs w:val="24"/>
              </w:rPr>
              <w:t>训练课题包括：空动作、单箱吊装装车、双箱吊装装车。</w:t>
            </w:r>
          </w:p>
        </w:tc>
      </w:tr>
      <w:tr w:rsidR="00BE456A" w:rsidRPr="00BE456A" w14:paraId="0A08E23C" w14:textId="77777777" w:rsidTr="003027A9">
        <w:trPr>
          <w:trHeight w:val="450"/>
        </w:trPr>
        <w:tc>
          <w:tcPr>
            <w:tcW w:w="9325" w:type="dxa"/>
            <w:gridSpan w:val="3"/>
          </w:tcPr>
          <w:p w14:paraId="4897FE70" w14:textId="77777777" w:rsidR="00BE456A" w:rsidRPr="00BE456A" w:rsidRDefault="00BE456A" w:rsidP="003027A9">
            <w:pPr>
              <w:spacing w:line="360" w:lineRule="auto"/>
              <w:jc w:val="center"/>
              <w:rPr>
                <w:rFonts w:ascii="黑体" w:eastAsia="黑体" w:hAnsi="黑体"/>
                <w:sz w:val="24"/>
                <w:szCs w:val="24"/>
              </w:rPr>
            </w:pPr>
            <w:r w:rsidRPr="00BE456A">
              <w:rPr>
                <w:rFonts w:ascii="黑体" w:eastAsia="黑体" w:hAnsi="黑体" w:hint="eastAsia"/>
                <w:sz w:val="24"/>
                <w:szCs w:val="24"/>
              </w:rPr>
              <w:t>硬件系统</w:t>
            </w:r>
          </w:p>
        </w:tc>
      </w:tr>
      <w:tr w:rsidR="00BE456A" w:rsidRPr="00BE456A" w14:paraId="643DED34" w14:textId="77777777" w:rsidTr="003027A9">
        <w:trPr>
          <w:trHeight w:val="520"/>
        </w:trPr>
        <w:tc>
          <w:tcPr>
            <w:tcW w:w="2988" w:type="dxa"/>
            <w:gridSpan w:val="2"/>
            <w:vAlign w:val="center"/>
          </w:tcPr>
          <w:p w14:paraId="11DBDF95" w14:textId="77777777" w:rsidR="00BE456A" w:rsidRPr="00BE456A" w:rsidRDefault="00BE456A" w:rsidP="003027A9">
            <w:pPr>
              <w:spacing w:line="360" w:lineRule="auto"/>
              <w:jc w:val="center"/>
              <w:rPr>
                <w:rFonts w:ascii="黑体" w:eastAsia="黑体" w:hAnsi="黑体"/>
                <w:sz w:val="24"/>
                <w:szCs w:val="24"/>
              </w:rPr>
            </w:pPr>
            <w:r w:rsidRPr="00BE456A">
              <w:rPr>
                <w:rFonts w:ascii="黑体" w:eastAsia="黑体" w:hAnsi="黑体" w:hint="eastAsia"/>
                <w:sz w:val="24"/>
                <w:szCs w:val="24"/>
              </w:rPr>
              <w:t>计算机（PC）</w:t>
            </w:r>
          </w:p>
        </w:tc>
        <w:tc>
          <w:tcPr>
            <w:tcW w:w="6337" w:type="dxa"/>
          </w:tcPr>
          <w:p w14:paraId="3B1D0B0E" w14:textId="77777777" w:rsidR="00BE456A" w:rsidRPr="00BE456A" w:rsidRDefault="00BE456A" w:rsidP="003027A9">
            <w:pPr>
              <w:spacing w:line="360" w:lineRule="auto"/>
              <w:rPr>
                <w:rFonts w:ascii="黑体" w:eastAsia="黑体" w:hAnsi="黑体"/>
                <w:sz w:val="24"/>
                <w:szCs w:val="24"/>
              </w:rPr>
            </w:pPr>
            <w:r w:rsidRPr="00BE456A">
              <w:rPr>
                <w:rFonts w:ascii="黑体" w:eastAsia="黑体" w:hAnsi="黑体" w:hint="eastAsia"/>
                <w:sz w:val="24"/>
                <w:szCs w:val="24"/>
              </w:rPr>
              <w:t>满足软件运行</w:t>
            </w:r>
          </w:p>
        </w:tc>
      </w:tr>
      <w:tr w:rsidR="00BE456A" w:rsidRPr="00BE456A" w14:paraId="62F36074" w14:textId="77777777" w:rsidTr="003027A9">
        <w:trPr>
          <w:trHeight w:val="374"/>
        </w:trPr>
        <w:tc>
          <w:tcPr>
            <w:tcW w:w="2988" w:type="dxa"/>
            <w:gridSpan w:val="2"/>
          </w:tcPr>
          <w:p w14:paraId="36C1CAEB" w14:textId="77777777" w:rsidR="00BE456A" w:rsidRPr="00BE456A" w:rsidRDefault="00BE456A" w:rsidP="003027A9">
            <w:pPr>
              <w:spacing w:line="360" w:lineRule="auto"/>
              <w:jc w:val="center"/>
              <w:rPr>
                <w:rFonts w:ascii="黑体" w:eastAsia="黑体" w:hAnsi="黑体"/>
                <w:sz w:val="24"/>
                <w:szCs w:val="24"/>
              </w:rPr>
            </w:pPr>
            <w:r w:rsidRPr="00BE456A">
              <w:rPr>
                <w:rFonts w:ascii="黑体" w:eastAsia="黑体" w:hAnsi="黑体" w:hint="eastAsia"/>
                <w:sz w:val="24"/>
                <w:szCs w:val="24"/>
              </w:rPr>
              <w:t>视景发生系统</w:t>
            </w:r>
          </w:p>
        </w:tc>
        <w:tc>
          <w:tcPr>
            <w:tcW w:w="6337" w:type="dxa"/>
          </w:tcPr>
          <w:p w14:paraId="439269D8" w14:textId="77777777" w:rsidR="00BE456A" w:rsidRPr="00BE456A" w:rsidRDefault="00BE456A" w:rsidP="003027A9">
            <w:pPr>
              <w:spacing w:line="360" w:lineRule="auto"/>
              <w:rPr>
                <w:rFonts w:ascii="黑体" w:eastAsia="黑体" w:hAnsi="黑体"/>
                <w:sz w:val="24"/>
                <w:szCs w:val="24"/>
              </w:rPr>
            </w:pPr>
            <w:r w:rsidRPr="00BE456A">
              <w:rPr>
                <w:rFonts w:ascii="黑体" w:eastAsia="黑体" w:hAnsi="黑体"/>
                <w:sz w:val="24"/>
                <w:szCs w:val="24"/>
              </w:rPr>
              <w:t>40</w:t>
            </w:r>
            <w:r w:rsidRPr="00BE456A">
              <w:rPr>
                <w:rFonts w:ascii="黑体" w:eastAsia="黑体" w:hAnsi="黑体" w:hint="eastAsia"/>
                <w:sz w:val="24"/>
                <w:szCs w:val="24"/>
              </w:rPr>
              <w:t>英寸LED液晶显示系统</w:t>
            </w:r>
          </w:p>
        </w:tc>
      </w:tr>
      <w:tr w:rsidR="00BE456A" w:rsidRPr="00BE456A" w14:paraId="0C75EEAA" w14:textId="77777777" w:rsidTr="003027A9">
        <w:trPr>
          <w:trHeight w:val="374"/>
        </w:trPr>
        <w:tc>
          <w:tcPr>
            <w:tcW w:w="2988" w:type="dxa"/>
            <w:gridSpan w:val="2"/>
          </w:tcPr>
          <w:p w14:paraId="2DC82BF1" w14:textId="77777777" w:rsidR="00BE456A" w:rsidRPr="00BE456A" w:rsidRDefault="00BE456A" w:rsidP="003027A9">
            <w:pPr>
              <w:spacing w:line="360" w:lineRule="auto"/>
              <w:jc w:val="center"/>
              <w:rPr>
                <w:rFonts w:ascii="黑体" w:eastAsia="黑体" w:hAnsi="黑体"/>
                <w:sz w:val="24"/>
                <w:szCs w:val="24"/>
              </w:rPr>
            </w:pPr>
            <w:r w:rsidRPr="00BE456A">
              <w:rPr>
                <w:rFonts w:ascii="黑体" w:eastAsia="黑体" w:hAnsi="黑体" w:hint="eastAsia"/>
                <w:sz w:val="24"/>
                <w:szCs w:val="24"/>
              </w:rPr>
              <w:t>高集成数据电路板</w:t>
            </w:r>
          </w:p>
        </w:tc>
        <w:tc>
          <w:tcPr>
            <w:tcW w:w="6337" w:type="dxa"/>
          </w:tcPr>
          <w:p w14:paraId="734A824E" w14:textId="3B8D9A3A" w:rsidR="00BE456A" w:rsidRPr="00BE456A" w:rsidRDefault="00BE456A" w:rsidP="003027A9">
            <w:pPr>
              <w:spacing w:line="360" w:lineRule="auto"/>
              <w:rPr>
                <w:rFonts w:ascii="黑体" w:eastAsia="黑体" w:hAnsi="黑体"/>
                <w:sz w:val="24"/>
                <w:szCs w:val="24"/>
              </w:rPr>
            </w:pPr>
            <w:r w:rsidRPr="00BE456A">
              <w:rPr>
                <w:rFonts w:ascii="黑体" w:eastAsia="黑体" w:hAnsi="黑体" w:hint="eastAsia"/>
                <w:sz w:val="24"/>
                <w:szCs w:val="24"/>
              </w:rPr>
              <w:t>自主研发</w:t>
            </w:r>
          </w:p>
        </w:tc>
      </w:tr>
      <w:tr w:rsidR="00BE456A" w:rsidRPr="00BE456A" w14:paraId="0D66AF3B" w14:textId="77777777" w:rsidTr="003027A9">
        <w:trPr>
          <w:trHeight w:val="311"/>
        </w:trPr>
        <w:tc>
          <w:tcPr>
            <w:tcW w:w="2988" w:type="dxa"/>
            <w:gridSpan w:val="2"/>
          </w:tcPr>
          <w:p w14:paraId="23519AD8" w14:textId="77777777" w:rsidR="00BE456A" w:rsidRPr="00BE456A" w:rsidRDefault="00BE456A" w:rsidP="003027A9">
            <w:pPr>
              <w:spacing w:line="360" w:lineRule="auto"/>
              <w:jc w:val="center"/>
              <w:rPr>
                <w:rFonts w:ascii="黑体" w:eastAsia="黑体" w:hAnsi="黑体"/>
                <w:sz w:val="24"/>
                <w:szCs w:val="24"/>
              </w:rPr>
            </w:pPr>
            <w:r w:rsidRPr="00BE456A">
              <w:rPr>
                <w:rFonts w:ascii="黑体" w:eastAsia="黑体" w:hAnsi="黑体" w:hint="eastAsia"/>
                <w:sz w:val="24"/>
                <w:szCs w:val="24"/>
              </w:rPr>
              <w:t>座椅</w:t>
            </w:r>
          </w:p>
        </w:tc>
        <w:tc>
          <w:tcPr>
            <w:tcW w:w="6337" w:type="dxa"/>
          </w:tcPr>
          <w:p w14:paraId="0CAE14F5" w14:textId="77777777" w:rsidR="00BE456A" w:rsidRPr="00BE456A" w:rsidRDefault="00BE456A" w:rsidP="003027A9">
            <w:pPr>
              <w:spacing w:line="360" w:lineRule="auto"/>
              <w:rPr>
                <w:rFonts w:ascii="黑体" w:eastAsia="黑体" w:hAnsi="黑体"/>
                <w:sz w:val="24"/>
                <w:szCs w:val="24"/>
              </w:rPr>
            </w:pPr>
            <w:r w:rsidRPr="00BE456A">
              <w:rPr>
                <w:rFonts w:ascii="黑体" w:eastAsia="黑体" w:hAnsi="黑体" w:hint="eastAsia"/>
                <w:sz w:val="24"/>
                <w:szCs w:val="24"/>
              </w:rPr>
              <w:t>工程机械专用型（承载重量＞100KG）</w:t>
            </w:r>
          </w:p>
        </w:tc>
      </w:tr>
      <w:tr w:rsidR="00BE456A" w:rsidRPr="00BE456A" w14:paraId="05DADE09" w14:textId="77777777" w:rsidTr="003027A9">
        <w:tc>
          <w:tcPr>
            <w:tcW w:w="2988" w:type="dxa"/>
            <w:gridSpan w:val="2"/>
            <w:vMerge w:val="restart"/>
          </w:tcPr>
          <w:p w14:paraId="375D3510" w14:textId="77777777" w:rsidR="00BE456A" w:rsidRPr="00BE456A" w:rsidRDefault="00BE456A" w:rsidP="003027A9">
            <w:pPr>
              <w:spacing w:line="360" w:lineRule="auto"/>
              <w:jc w:val="center"/>
              <w:rPr>
                <w:rFonts w:ascii="黑体" w:eastAsia="黑体" w:hAnsi="黑体"/>
                <w:sz w:val="24"/>
                <w:szCs w:val="24"/>
              </w:rPr>
            </w:pPr>
          </w:p>
        </w:tc>
        <w:tc>
          <w:tcPr>
            <w:tcW w:w="6337" w:type="dxa"/>
          </w:tcPr>
          <w:p w14:paraId="0DC97D5C" w14:textId="77777777" w:rsidR="00BE456A" w:rsidRPr="00BE456A" w:rsidRDefault="00BE456A" w:rsidP="003027A9">
            <w:pPr>
              <w:spacing w:line="360" w:lineRule="auto"/>
              <w:rPr>
                <w:rFonts w:ascii="黑体" w:eastAsia="黑体" w:hAnsi="黑体"/>
                <w:sz w:val="24"/>
                <w:szCs w:val="24"/>
              </w:rPr>
            </w:pPr>
            <w:r w:rsidRPr="00BE456A">
              <w:rPr>
                <w:rFonts w:ascii="黑体" w:eastAsia="黑体" w:hAnsi="黑体" w:hint="eastAsia"/>
                <w:sz w:val="24"/>
                <w:szCs w:val="24"/>
              </w:rPr>
              <w:t>左联动台操纵杆 用于控制岸边集装箱起重机的增幅、减幅、左转、右转。</w:t>
            </w:r>
          </w:p>
        </w:tc>
      </w:tr>
      <w:tr w:rsidR="00BE456A" w:rsidRPr="00BE456A" w14:paraId="615483CD" w14:textId="77777777" w:rsidTr="003027A9">
        <w:tc>
          <w:tcPr>
            <w:tcW w:w="2988" w:type="dxa"/>
            <w:gridSpan w:val="2"/>
            <w:vMerge/>
          </w:tcPr>
          <w:p w14:paraId="3884A7CE" w14:textId="77777777" w:rsidR="00BE456A" w:rsidRPr="00BE456A" w:rsidRDefault="00BE456A" w:rsidP="003027A9">
            <w:pPr>
              <w:spacing w:line="360" w:lineRule="auto"/>
              <w:jc w:val="center"/>
              <w:rPr>
                <w:rFonts w:ascii="黑体" w:eastAsia="黑体" w:hAnsi="黑体"/>
                <w:sz w:val="24"/>
                <w:szCs w:val="24"/>
              </w:rPr>
            </w:pPr>
          </w:p>
        </w:tc>
        <w:tc>
          <w:tcPr>
            <w:tcW w:w="6337" w:type="dxa"/>
          </w:tcPr>
          <w:p w14:paraId="54266DF0" w14:textId="77777777" w:rsidR="00BE456A" w:rsidRPr="00BE456A" w:rsidRDefault="00BE456A" w:rsidP="003027A9">
            <w:pPr>
              <w:spacing w:line="360" w:lineRule="auto"/>
              <w:rPr>
                <w:rFonts w:ascii="黑体" w:eastAsia="黑体" w:hAnsi="黑体"/>
                <w:sz w:val="24"/>
                <w:szCs w:val="24"/>
              </w:rPr>
            </w:pPr>
            <w:r w:rsidRPr="00BE456A">
              <w:rPr>
                <w:rFonts w:ascii="黑体" w:eastAsia="黑体" w:hAnsi="黑体" w:hint="eastAsia"/>
                <w:sz w:val="24"/>
                <w:szCs w:val="24"/>
              </w:rPr>
              <w:t>右联动台操纵杆 用于控制岸边集装箱起重机的起升下降、起升上升、左行、右行。</w:t>
            </w:r>
          </w:p>
        </w:tc>
      </w:tr>
      <w:tr w:rsidR="00BE456A" w:rsidRPr="00BE456A" w14:paraId="55F98B7D" w14:textId="77777777" w:rsidTr="003027A9">
        <w:tc>
          <w:tcPr>
            <w:tcW w:w="2988" w:type="dxa"/>
            <w:gridSpan w:val="2"/>
            <w:vMerge/>
          </w:tcPr>
          <w:p w14:paraId="025133BB" w14:textId="77777777" w:rsidR="00BE456A" w:rsidRPr="00BE456A" w:rsidRDefault="00BE456A" w:rsidP="003027A9">
            <w:pPr>
              <w:spacing w:line="360" w:lineRule="auto"/>
              <w:jc w:val="center"/>
              <w:rPr>
                <w:rFonts w:ascii="黑体" w:eastAsia="黑体" w:hAnsi="黑体"/>
                <w:sz w:val="24"/>
                <w:szCs w:val="24"/>
              </w:rPr>
            </w:pPr>
          </w:p>
        </w:tc>
        <w:tc>
          <w:tcPr>
            <w:tcW w:w="6337" w:type="dxa"/>
          </w:tcPr>
          <w:p w14:paraId="003A41C3" w14:textId="77777777" w:rsidR="00BE456A" w:rsidRPr="00BE456A" w:rsidRDefault="00BE456A" w:rsidP="003027A9">
            <w:pPr>
              <w:spacing w:line="360" w:lineRule="auto"/>
              <w:rPr>
                <w:rFonts w:ascii="黑体" w:eastAsia="黑体" w:hAnsi="黑体"/>
                <w:sz w:val="24"/>
                <w:szCs w:val="24"/>
              </w:rPr>
            </w:pPr>
            <w:r w:rsidRPr="00BE456A">
              <w:rPr>
                <w:rFonts w:ascii="黑体" w:eastAsia="黑体" w:hAnsi="黑体" w:hint="eastAsia"/>
                <w:sz w:val="24"/>
                <w:szCs w:val="24"/>
              </w:rPr>
              <w:t>功能组合控制按钮 优于一般按钮开关，包含了40多个控制按钮开关及指示灯。</w:t>
            </w:r>
          </w:p>
        </w:tc>
      </w:tr>
      <w:tr w:rsidR="00BE456A" w:rsidRPr="00BE456A" w14:paraId="06FDC2C7" w14:textId="77777777" w:rsidTr="003027A9">
        <w:trPr>
          <w:trHeight w:val="164"/>
        </w:trPr>
        <w:tc>
          <w:tcPr>
            <w:tcW w:w="2988" w:type="dxa"/>
            <w:gridSpan w:val="2"/>
          </w:tcPr>
          <w:p w14:paraId="61692D58" w14:textId="77777777" w:rsidR="00BE456A" w:rsidRPr="00BE456A" w:rsidRDefault="00BE456A" w:rsidP="003027A9">
            <w:pPr>
              <w:spacing w:line="360" w:lineRule="auto"/>
              <w:jc w:val="center"/>
              <w:rPr>
                <w:rFonts w:ascii="黑体" w:eastAsia="黑体" w:hAnsi="黑体"/>
                <w:sz w:val="24"/>
                <w:szCs w:val="24"/>
              </w:rPr>
            </w:pPr>
            <w:r w:rsidRPr="00BE456A">
              <w:rPr>
                <w:rFonts w:ascii="黑体" w:eastAsia="黑体" w:hAnsi="黑体" w:hint="eastAsia"/>
                <w:sz w:val="24"/>
                <w:szCs w:val="24"/>
              </w:rPr>
              <w:t>设备电压及功率</w:t>
            </w:r>
          </w:p>
        </w:tc>
        <w:tc>
          <w:tcPr>
            <w:tcW w:w="6337" w:type="dxa"/>
          </w:tcPr>
          <w:p w14:paraId="1AFD6AFA" w14:textId="77777777" w:rsidR="00BE456A" w:rsidRPr="00BE456A" w:rsidRDefault="00BE456A" w:rsidP="003027A9">
            <w:pPr>
              <w:spacing w:line="360" w:lineRule="auto"/>
              <w:rPr>
                <w:rFonts w:ascii="黑体" w:eastAsia="黑体" w:hAnsi="黑体"/>
                <w:sz w:val="24"/>
                <w:szCs w:val="24"/>
              </w:rPr>
            </w:pPr>
            <w:r w:rsidRPr="00BE456A">
              <w:rPr>
                <w:rFonts w:ascii="黑体" w:eastAsia="黑体" w:hAnsi="黑体" w:hint="eastAsia"/>
                <w:sz w:val="24"/>
                <w:szCs w:val="24"/>
              </w:rPr>
              <w:t>220V国家标准电压                    单台功率300W</w:t>
            </w:r>
          </w:p>
        </w:tc>
      </w:tr>
      <w:tr w:rsidR="00BE456A" w:rsidRPr="00BE456A" w14:paraId="5E6D07BE" w14:textId="77777777" w:rsidTr="003027A9">
        <w:trPr>
          <w:trHeight w:val="398"/>
        </w:trPr>
        <w:tc>
          <w:tcPr>
            <w:tcW w:w="9325" w:type="dxa"/>
            <w:gridSpan w:val="3"/>
          </w:tcPr>
          <w:p w14:paraId="50260A7C" w14:textId="77777777" w:rsidR="00BE456A" w:rsidRPr="00BE456A" w:rsidRDefault="00BE456A" w:rsidP="003027A9">
            <w:pPr>
              <w:spacing w:line="360" w:lineRule="auto"/>
              <w:jc w:val="center"/>
              <w:rPr>
                <w:rFonts w:ascii="黑体" w:eastAsia="黑体" w:hAnsi="黑体"/>
                <w:sz w:val="24"/>
                <w:szCs w:val="24"/>
              </w:rPr>
            </w:pPr>
            <w:r w:rsidRPr="00BE456A">
              <w:rPr>
                <w:rFonts w:ascii="黑体" w:eastAsia="黑体" w:hAnsi="黑体" w:hint="eastAsia"/>
                <w:sz w:val="24"/>
                <w:szCs w:val="24"/>
              </w:rPr>
              <w:t>外观尺寸及重量</w:t>
            </w:r>
          </w:p>
        </w:tc>
      </w:tr>
      <w:tr w:rsidR="00BE456A" w:rsidRPr="00BE456A" w14:paraId="603AAF4B" w14:textId="77777777" w:rsidTr="003027A9">
        <w:trPr>
          <w:trHeight w:val="347"/>
        </w:trPr>
        <w:tc>
          <w:tcPr>
            <w:tcW w:w="2988" w:type="dxa"/>
            <w:gridSpan w:val="2"/>
          </w:tcPr>
          <w:p w14:paraId="17CEF5EB" w14:textId="77777777" w:rsidR="00BE456A" w:rsidRPr="00BE456A" w:rsidRDefault="00BE456A" w:rsidP="003027A9">
            <w:pPr>
              <w:spacing w:line="360" w:lineRule="auto"/>
              <w:jc w:val="center"/>
              <w:rPr>
                <w:rFonts w:ascii="黑体" w:eastAsia="黑体" w:hAnsi="黑体"/>
                <w:sz w:val="24"/>
                <w:szCs w:val="24"/>
              </w:rPr>
            </w:pPr>
            <w:r w:rsidRPr="00BE456A">
              <w:rPr>
                <w:rFonts w:ascii="黑体" w:eastAsia="黑体" w:hAnsi="黑体" w:hint="eastAsia"/>
                <w:sz w:val="24"/>
                <w:szCs w:val="24"/>
              </w:rPr>
              <w:t>外观机体结构及特点</w:t>
            </w:r>
          </w:p>
        </w:tc>
        <w:tc>
          <w:tcPr>
            <w:tcW w:w="6337" w:type="dxa"/>
          </w:tcPr>
          <w:p w14:paraId="79BCEF71" w14:textId="77777777" w:rsidR="00BE456A" w:rsidRPr="00BE456A" w:rsidRDefault="00BE456A" w:rsidP="003027A9">
            <w:pPr>
              <w:widowControl/>
              <w:tabs>
                <w:tab w:val="left" w:pos="0"/>
              </w:tabs>
              <w:jc w:val="left"/>
              <w:rPr>
                <w:rFonts w:ascii="黑体" w:eastAsia="黑体" w:hAnsi="黑体"/>
                <w:sz w:val="24"/>
                <w:szCs w:val="24"/>
              </w:rPr>
            </w:pPr>
            <w:r w:rsidRPr="00BE456A">
              <w:rPr>
                <w:rFonts w:ascii="黑体" w:eastAsia="黑体" w:hAnsi="黑体" w:hint="eastAsia"/>
                <w:sz w:val="24"/>
                <w:szCs w:val="24"/>
              </w:rPr>
              <w:t>铁质</w:t>
            </w:r>
            <w:r w:rsidRPr="00BE456A">
              <w:rPr>
                <w:rFonts w:ascii="黑体" w:eastAsia="黑体" w:hAnsi="黑体" w:cs="Trebuchet MS" w:hint="eastAsia"/>
                <w:bCs/>
                <w:sz w:val="24"/>
                <w:szCs w:val="24"/>
              </w:rPr>
              <w:t>一体化、半包围式结构，全部喷塑</w:t>
            </w:r>
            <w:r w:rsidRPr="00BE456A">
              <w:rPr>
                <w:rFonts w:ascii="黑体" w:eastAsia="黑体" w:hAnsi="黑体" w:hint="eastAsia"/>
                <w:sz w:val="24"/>
                <w:szCs w:val="24"/>
              </w:rPr>
              <w:t>工程机械专有色--黄色。色泽均匀，耐磨不退色。</w:t>
            </w:r>
          </w:p>
        </w:tc>
      </w:tr>
      <w:tr w:rsidR="00BE456A" w:rsidRPr="00BE456A" w14:paraId="60CA5F59" w14:textId="77777777" w:rsidTr="003027A9">
        <w:trPr>
          <w:trHeight w:val="347"/>
        </w:trPr>
        <w:tc>
          <w:tcPr>
            <w:tcW w:w="2988" w:type="dxa"/>
            <w:gridSpan w:val="2"/>
          </w:tcPr>
          <w:p w14:paraId="4663CA28" w14:textId="77777777" w:rsidR="00BE456A" w:rsidRPr="00BE456A" w:rsidRDefault="00BE456A" w:rsidP="003027A9">
            <w:pPr>
              <w:spacing w:line="360" w:lineRule="auto"/>
              <w:jc w:val="center"/>
              <w:rPr>
                <w:rFonts w:ascii="黑体" w:eastAsia="黑体" w:hAnsi="黑体"/>
                <w:sz w:val="24"/>
                <w:szCs w:val="24"/>
              </w:rPr>
            </w:pPr>
            <w:r w:rsidRPr="00BE456A">
              <w:rPr>
                <w:rFonts w:ascii="黑体" w:eastAsia="黑体" w:hAnsi="黑体" w:hint="eastAsia"/>
                <w:sz w:val="24"/>
                <w:szCs w:val="24"/>
              </w:rPr>
              <w:t>尺寸</w:t>
            </w:r>
          </w:p>
        </w:tc>
        <w:tc>
          <w:tcPr>
            <w:tcW w:w="6337" w:type="dxa"/>
          </w:tcPr>
          <w:p w14:paraId="7D4F284F" w14:textId="77777777" w:rsidR="00BE456A" w:rsidRPr="00BE456A" w:rsidRDefault="00BE456A" w:rsidP="003027A9">
            <w:pPr>
              <w:spacing w:line="360" w:lineRule="auto"/>
              <w:rPr>
                <w:rFonts w:ascii="黑体" w:eastAsia="黑体" w:hAnsi="黑体"/>
                <w:sz w:val="24"/>
                <w:szCs w:val="24"/>
              </w:rPr>
            </w:pPr>
            <w:r w:rsidRPr="00BE456A">
              <w:rPr>
                <w:rFonts w:ascii="黑体" w:eastAsia="黑体" w:hAnsi="黑体"/>
                <w:sz w:val="24"/>
                <w:szCs w:val="24"/>
              </w:rPr>
              <w:t>1280</w:t>
            </w:r>
            <w:r w:rsidRPr="00BE456A">
              <w:rPr>
                <w:rFonts w:ascii="黑体" w:eastAsia="黑体" w:hAnsi="黑体" w:hint="eastAsia"/>
                <w:sz w:val="24"/>
                <w:szCs w:val="24"/>
              </w:rPr>
              <w:t>mm</w:t>
            </w:r>
            <w:r w:rsidRPr="00BE456A">
              <w:rPr>
                <w:rFonts w:ascii="黑体" w:eastAsia="黑体" w:hAnsi="黑体"/>
                <w:sz w:val="24"/>
                <w:szCs w:val="24"/>
              </w:rPr>
              <w:t>*900</w:t>
            </w:r>
            <w:r w:rsidRPr="00BE456A">
              <w:rPr>
                <w:rFonts w:ascii="黑体" w:eastAsia="黑体" w:hAnsi="黑体" w:hint="eastAsia"/>
                <w:sz w:val="24"/>
                <w:szCs w:val="24"/>
              </w:rPr>
              <w:t>mm</w:t>
            </w:r>
            <w:r w:rsidRPr="00BE456A">
              <w:rPr>
                <w:rFonts w:ascii="黑体" w:eastAsia="黑体" w:hAnsi="黑体"/>
                <w:sz w:val="24"/>
                <w:szCs w:val="24"/>
              </w:rPr>
              <w:t>*1280</w:t>
            </w:r>
            <w:r w:rsidRPr="00BE456A">
              <w:rPr>
                <w:rFonts w:ascii="黑体" w:eastAsia="黑体" w:hAnsi="黑体" w:hint="eastAsia"/>
                <w:sz w:val="24"/>
                <w:szCs w:val="24"/>
              </w:rPr>
              <w:t>mm（长*宽*高）</w:t>
            </w:r>
          </w:p>
        </w:tc>
      </w:tr>
      <w:tr w:rsidR="00BE456A" w:rsidRPr="00BE456A" w14:paraId="62BAD938" w14:textId="77777777" w:rsidTr="003027A9">
        <w:tc>
          <w:tcPr>
            <w:tcW w:w="2988" w:type="dxa"/>
            <w:gridSpan w:val="2"/>
          </w:tcPr>
          <w:p w14:paraId="4EB8D4E3" w14:textId="77777777" w:rsidR="00BE456A" w:rsidRPr="00BE456A" w:rsidRDefault="00BE456A" w:rsidP="003027A9">
            <w:pPr>
              <w:spacing w:line="360" w:lineRule="auto"/>
              <w:jc w:val="center"/>
              <w:rPr>
                <w:rFonts w:ascii="黑体" w:eastAsia="黑体" w:hAnsi="黑体"/>
                <w:sz w:val="24"/>
                <w:szCs w:val="24"/>
              </w:rPr>
            </w:pPr>
            <w:r w:rsidRPr="00BE456A">
              <w:rPr>
                <w:rFonts w:ascii="黑体" w:eastAsia="黑体" w:hAnsi="黑体" w:hint="eastAsia"/>
                <w:sz w:val="24"/>
                <w:szCs w:val="24"/>
              </w:rPr>
              <w:t>净重</w:t>
            </w:r>
          </w:p>
        </w:tc>
        <w:tc>
          <w:tcPr>
            <w:tcW w:w="6337" w:type="dxa"/>
          </w:tcPr>
          <w:p w14:paraId="23CBF676" w14:textId="77777777" w:rsidR="00BE456A" w:rsidRPr="00BE456A" w:rsidRDefault="00BE456A" w:rsidP="003027A9">
            <w:pPr>
              <w:spacing w:line="360" w:lineRule="auto"/>
              <w:rPr>
                <w:rFonts w:ascii="黑体" w:eastAsia="黑体" w:hAnsi="黑体"/>
                <w:sz w:val="24"/>
                <w:szCs w:val="24"/>
              </w:rPr>
            </w:pPr>
            <w:r w:rsidRPr="00BE456A">
              <w:rPr>
                <w:rFonts w:ascii="黑体" w:eastAsia="黑体" w:hAnsi="黑体" w:hint="eastAsia"/>
                <w:sz w:val="24"/>
                <w:szCs w:val="24"/>
              </w:rPr>
              <w:t>110Kg</w:t>
            </w:r>
          </w:p>
        </w:tc>
      </w:tr>
    </w:tbl>
    <w:p w14:paraId="7E94AA83" w14:textId="77777777" w:rsidR="00BE456A" w:rsidRPr="00BE456A" w:rsidRDefault="00BE456A">
      <w:pPr>
        <w:rPr>
          <w:rFonts w:ascii="黑体" w:eastAsia="黑体" w:hAnsi="黑体" w:hint="eastAsia"/>
          <w:sz w:val="24"/>
          <w:szCs w:val="24"/>
        </w:rPr>
      </w:pPr>
    </w:p>
    <w:sectPr w:rsidR="00BE456A" w:rsidRPr="00BE456A" w:rsidSect="00201F6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0AF37" w14:textId="77777777" w:rsidR="00900CEE" w:rsidRDefault="00900CEE" w:rsidP="00BE456A">
      <w:r>
        <w:separator/>
      </w:r>
    </w:p>
  </w:endnote>
  <w:endnote w:type="continuationSeparator" w:id="0">
    <w:p w14:paraId="07B2F175" w14:textId="77777777" w:rsidR="00900CEE" w:rsidRDefault="00900CEE" w:rsidP="00BE4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FangSong_GB2312-Identity-H">
    <w:altName w:val="黑体"/>
    <w:charset w:val="86"/>
    <w:family w:val="auto"/>
    <w:pitch w:val="default"/>
    <w:sig w:usb0="00000001" w:usb1="080E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0CD7A" w14:textId="77777777" w:rsidR="00900CEE" w:rsidRDefault="00900CEE" w:rsidP="00BE456A">
      <w:r>
        <w:separator/>
      </w:r>
    </w:p>
  </w:footnote>
  <w:footnote w:type="continuationSeparator" w:id="0">
    <w:p w14:paraId="6C1F1905" w14:textId="77777777" w:rsidR="00900CEE" w:rsidRDefault="00900CEE" w:rsidP="00BE45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singleLevel"/>
    <w:tmpl w:val="00000006"/>
    <w:lvl w:ilvl="0">
      <w:start w:val="1"/>
      <w:numFmt w:val="decimal"/>
      <w:suff w:val="nothing"/>
      <w:lvlText w:val="%1."/>
      <w:lvlJc w:val="left"/>
    </w:lvl>
  </w:abstractNum>
  <w:num w:numId="1" w16cid:durableId="17940561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0"/>
  </w:compat>
  <w:rsids>
    <w:rsidRoot w:val="001A0A33"/>
    <w:rsid w:val="001A0A33"/>
    <w:rsid w:val="00201F6C"/>
    <w:rsid w:val="002125DA"/>
    <w:rsid w:val="008A75B7"/>
    <w:rsid w:val="00900CEE"/>
    <w:rsid w:val="00BC4962"/>
    <w:rsid w:val="00BE456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50F5E1"/>
  <w15:chartTrackingRefBased/>
  <w15:docId w15:val="{552FFD94-52FA-4B88-83D0-A13036020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1F6C"/>
    <w:pPr>
      <w:widowControl w:val="0"/>
      <w:jc w:val="both"/>
    </w:pPr>
  </w:style>
  <w:style w:type="paragraph" w:styleId="1">
    <w:name w:val="heading 1"/>
    <w:basedOn w:val="a"/>
    <w:next w:val="a"/>
    <w:link w:val="10"/>
    <w:autoRedefine/>
    <w:uiPriority w:val="9"/>
    <w:qFormat/>
    <w:rsid w:val="00BC4962"/>
    <w:pPr>
      <w:keepNext/>
      <w:keepLines/>
      <w:spacing w:before="340" w:after="330" w:line="578" w:lineRule="auto"/>
      <w:outlineLvl w:val="0"/>
    </w:pPr>
    <w:rPr>
      <w:rFonts w:ascii="Times New Roman" w:eastAsia="黑体" w:hAnsi="Times New Roman" w:cs="Times New Roman"/>
      <w:b/>
      <w:bCs/>
      <w:kern w:val="44"/>
      <w:sz w:val="30"/>
      <w:szCs w:val="44"/>
    </w:rPr>
  </w:style>
  <w:style w:type="paragraph" w:styleId="2">
    <w:name w:val="heading 2"/>
    <w:basedOn w:val="a"/>
    <w:next w:val="a"/>
    <w:link w:val="20"/>
    <w:autoRedefine/>
    <w:uiPriority w:val="9"/>
    <w:unhideWhenUsed/>
    <w:qFormat/>
    <w:rsid w:val="00BC4962"/>
    <w:pPr>
      <w:keepNext/>
      <w:keepLines/>
      <w:spacing w:before="260" w:after="260" w:line="416" w:lineRule="auto"/>
      <w:outlineLvl w:val="1"/>
    </w:pPr>
    <w:rPr>
      <w:rFonts w:asciiTheme="majorHAnsi" w:eastAsia="黑体" w:hAnsiTheme="majorHAnsi" w:cstheme="majorBidi"/>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BC4962"/>
    <w:rPr>
      <w:rFonts w:asciiTheme="majorHAnsi" w:eastAsia="黑体" w:hAnsiTheme="majorHAnsi" w:cstheme="majorBidi"/>
      <w:b/>
      <w:bCs/>
      <w:sz w:val="28"/>
      <w:szCs w:val="32"/>
    </w:rPr>
  </w:style>
  <w:style w:type="character" w:customStyle="1" w:styleId="10">
    <w:name w:val="标题 1 字符"/>
    <w:basedOn w:val="a0"/>
    <w:link w:val="1"/>
    <w:uiPriority w:val="9"/>
    <w:rsid w:val="00BC4962"/>
    <w:rPr>
      <w:rFonts w:ascii="Times New Roman" w:eastAsia="黑体" w:hAnsi="Times New Roman" w:cs="Times New Roman"/>
      <w:b/>
      <w:bCs/>
      <w:kern w:val="44"/>
      <w:sz w:val="30"/>
      <w:szCs w:val="44"/>
    </w:rPr>
  </w:style>
  <w:style w:type="paragraph" w:styleId="a3">
    <w:name w:val="header"/>
    <w:basedOn w:val="a"/>
    <w:link w:val="a4"/>
    <w:uiPriority w:val="99"/>
    <w:unhideWhenUsed/>
    <w:rsid w:val="00BE456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E456A"/>
    <w:rPr>
      <w:sz w:val="18"/>
      <w:szCs w:val="18"/>
    </w:rPr>
  </w:style>
  <w:style w:type="paragraph" w:styleId="a5">
    <w:name w:val="footer"/>
    <w:basedOn w:val="a"/>
    <w:link w:val="a6"/>
    <w:uiPriority w:val="99"/>
    <w:unhideWhenUsed/>
    <w:rsid w:val="00BE456A"/>
    <w:pPr>
      <w:tabs>
        <w:tab w:val="center" w:pos="4153"/>
        <w:tab w:val="right" w:pos="8306"/>
      </w:tabs>
      <w:snapToGrid w:val="0"/>
      <w:jc w:val="left"/>
    </w:pPr>
    <w:rPr>
      <w:sz w:val="18"/>
      <w:szCs w:val="18"/>
    </w:rPr>
  </w:style>
  <w:style w:type="character" w:customStyle="1" w:styleId="a6">
    <w:name w:val="页脚 字符"/>
    <w:basedOn w:val="a0"/>
    <w:link w:val="a5"/>
    <w:uiPriority w:val="99"/>
    <w:rsid w:val="00BE456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198</Words>
  <Characters>1133</Characters>
  <Application>Microsoft Office Word</Application>
  <DocSecurity>0</DocSecurity>
  <Lines>9</Lines>
  <Paragraphs>2</Paragraphs>
  <ScaleCrop>false</ScaleCrop>
  <Company/>
  <LinksUpToDate>false</LinksUpToDate>
  <CharactersWithSpaces>1329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上海顶邦教育设备制造有限公司</dc:creator>
  <cp:keywords/>
  <dc:description/>
  <cp:lastModifiedBy>上海顶邦教育设备制造有限公司</cp:lastModifiedBy>
  <cp:revision>3</cp:revision>
  <dcterms:created xsi:type="dcterms:W3CDTF">2022-06-16T06:58:00Z</dcterms:created>
  <dcterms:modified xsi:type="dcterms:W3CDTF">2022-06-16T07:01:00Z</dcterms:modified>
</cp:coreProperties>
</file>